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12" w:rsidRPr="00E048D2" w:rsidRDefault="000D3C12" w:rsidP="000D3C12">
      <w:pPr>
        <w:tabs>
          <w:tab w:val="left" w:pos="300"/>
        </w:tabs>
        <w:rPr>
          <w:b/>
          <w:sz w:val="20"/>
          <w:szCs w:val="20"/>
        </w:rPr>
      </w:pPr>
      <w:r w:rsidRPr="00E048D2">
        <w:rPr>
          <w:b/>
          <w:sz w:val="20"/>
          <w:szCs w:val="20"/>
        </w:rPr>
        <w:t>RISK MEASUREMENT FOR MOTOR THIRD PARTY LIABILITY INSURANCE IN TURKEY</w:t>
      </w:r>
    </w:p>
    <w:p w:rsidR="000D3C12" w:rsidRPr="00E048D2" w:rsidRDefault="000D3C12" w:rsidP="000E4155">
      <w:pPr>
        <w:tabs>
          <w:tab w:val="left" w:pos="300"/>
        </w:tabs>
        <w:rPr>
          <w:b/>
          <w:sz w:val="40"/>
          <w:szCs w:val="40"/>
        </w:rPr>
      </w:pPr>
    </w:p>
    <w:p w:rsidR="000D3C12" w:rsidRPr="00E048D2" w:rsidRDefault="000D3C12" w:rsidP="000D3C12">
      <w:pPr>
        <w:tabs>
          <w:tab w:val="left" w:pos="300"/>
        </w:tabs>
        <w:rPr>
          <w:b/>
          <w:sz w:val="20"/>
          <w:szCs w:val="20"/>
        </w:rPr>
      </w:pPr>
      <w:r>
        <w:rPr>
          <w:b/>
          <w:sz w:val="20"/>
          <w:szCs w:val="20"/>
        </w:rPr>
        <w:t>Aslıhan ŞENTÜRK ACAR</w:t>
      </w:r>
      <w:r w:rsidRPr="00E048D2">
        <w:rPr>
          <w:b/>
          <w:sz w:val="20"/>
          <w:szCs w:val="20"/>
        </w:rPr>
        <w:t>,</w:t>
      </w:r>
      <w:r>
        <w:rPr>
          <w:b/>
          <w:sz w:val="20"/>
          <w:szCs w:val="20"/>
        </w:rPr>
        <w:t xml:space="preserve"> </w:t>
      </w:r>
      <w:r w:rsidRPr="00E048D2">
        <w:rPr>
          <w:b/>
          <w:sz w:val="20"/>
          <w:szCs w:val="20"/>
        </w:rPr>
        <w:t xml:space="preserve">Uğur KARABEY </w:t>
      </w:r>
    </w:p>
    <w:p w:rsidR="000D3C12" w:rsidRPr="00E048D2" w:rsidRDefault="000D3C12" w:rsidP="000D3C12">
      <w:pPr>
        <w:tabs>
          <w:tab w:val="left" w:pos="300"/>
        </w:tabs>
        <w:rPr>
          <w:b/>
          <w:sz w:val="20"/>
          <w:szCs w:val="20"/>
        </w:rPr>
      </w:pPr>
    </w:p>
    <w:p w:rsidR="000D3C12" w:rsidRPr="00E048D2" w:rsidRDefault="000D3C12" w:rsidP="000D3C12">
      <w:pPr>
        <w:rPr>
          <w:i/>
          <w:sz w:val="16"/>
          <w:szCs w:val="16"/>
        </w:rPr>
      </w:pPr>
      <w:r w:rsidRPr="00E048D2">
        <w:rPr>
          <w:i/>
          <w:sz w:val="16"/>
          <w:szCs w:val="16"/>
        </w:rPr>
        <w:t>Aktüerya Bilimleri Bölümü</w:t>
      </w:r>
      <w:r>
        <w:rPr>
          <w:i/>
          <w:sz w:val="16"/>
          <w:szCs w:val="16"/>
        </w:rPr>
        <w:t xml:space="preserve">, </w:t>
      </w:r>
      <w:r w:rsidRPr="00E048D2">
        <w:rPr>
          <w:i/>
          <w:sz w:val="16"/>
          <w:szCs w:val="16"/>
        </w:rPr>
        <w:t>Hacettepe Üniversitesi, Beytepe, ANKARA</w:t>
      </w:r>
    </w:p>
    <w:p w:rsidR="000D3C12" w:rsidRPr="00E048D2" w:rsidRDefault="000D3C12" w:rsidP="000D3C12">
      <w:pPr>
        <w:pStyle w:val="Heading1"/>
        <w:tabs>
          <w:tab w:val="left" w:pos="300"/>
        </w:tabs>
        <w:ind w:right="672"/>
        <w:rPr>
          <w:b w:val="0"/>
          <w:bCs w:val="0"/>
        </w:rPr>
      </w:pPr>
    </w:p>
    <w:p w:rsidR="000D3C12" w:rsidRPr="00E048D2" w:rsidRDefault="000D3C12" w:rsidP="000D3C12">
      <w:pPr>
        <w:tabs>
          <w:tab w:val="left" w:pos="300"/>
          <w:tab w:val="left" w:pos="1000"/>
        </w:tabs>
        <w:spacing w:before="240" w:after="240"/>
        <w:ind w:right="-86"/>
        <w:jc w:val="both"/>
        <w:rPr>
          <w:b/>
          <w:sz w:val="16"/>
          <w:szCs w:val="16"/>
        </w:rPr>
      </w:pPr>
      <w:r w:rsidRPr="00E048D2">
        <w:rPr>
          <w:b/>
          <w:sz w:val="16"/>
          <w:szCs w:val="16"/>
        </w:rPr>
        <w:t>ABSTARCT</w:t>
      </w:r>
    </w:p>
    <w:p w:rsidR="000D3C12" w:rsidRPr="00E048D2" w:rsidRDefault="000D3C12" w:rsidP="000D3C12">
      <w:pPr>
        <w:tabs>
          <w:tab w:val="left" w:pos="300"/>
          <w:tab w:val="left" w:pos="1000"/>
        </w:tabs>
        <w:spacing w:before="240" w:after="240"/>
        <w:ind w:right="-86"/>
        <w:jc w:val="both"/>
        <w:rPr>
          <w:sz w:val="16"/>
          <w:szCs w:val="16"/>
        </w:rPr>
      </w:pPr>
      <w:r w:rsidRPr="00E048D2">
        <w:rPr>
          <w:sz w:val="16"/>
          <w:szCs w:val="16"/>
        </w:rPr>
        <w:t>In this study,</w:t>
      </w:r>
      <w:r>
        <w:rPr>
          <w:sz w:val="16"/>
          <w:szCs w:val="16"/>
        </w:rPr>
        <w:t xml:space="preserve"> a</w:t>
      </w:r>
      <w:r w:rsidRPr="00E048D2">
        <w:rPr>
          <w:sz w:val="16"/>
          <w:szCs w:val="16"/>
        </w:rPr>
        <w:t xml:space="preserve"> motor third party liability insurance data set is ex</w:t>
      </w:r>
      <w:r w:rsidR="00706738">
        <w:rPr>
          <w:sz w:val="16"/>
          <w:szCs w:val="16"/>
        </w:rPr>
        <w:t>amined, claim amounts are model</w:t>
      </w:r>
      <w:r w:rsidRPr="00E048D2">
        <w:rPr>
          <w:sz w:val="16"/>
          <w:szCs w:val="16"/>
        </w:rPr>
        <w:t xml:space="preserve">ed and risk measures are calculated according to the significant explanatory variables. Value at Risk and Expected Short Fall methods are used for </w:t>
      </w:r>
      <w:r>
        <w:rPr>
          <w:sz w:val="16"/>
          <w:szCs w:val="16"/>
        </w:rPr>
        <w:t xml:space="preserve">the </w:t>
      </w:r>
      <w:r w:rsidRPr="00E048D2">
        <w:rPr>
          <w:sz w:val="16"/>
          <w:szCs w:val="16"/>
        </w:rPr>
        <w:t xml:space="preserve">risk measures. With the risk measures calculated for three different confidence levels, maximum losses for various risk classes are achieved and the results </w:t>
      </w:r>
      <w:r>
        <w:rPr>
          <w:sz w:val="16"/>
          <w:szCs w:val="16"/>
        </w:rPr>
        <w:t xml:space="preserve">are </w:t>
      </w:r>
      <w:r w:rsidRPr="00E048D2">
        <w:rPr>
          <w:sz w:val="16"/>
          <w:szCs w:val="16"/>
        </w:rPr>
        <w:t>compared.</w:t>
      </w:r>
    </w:p>
    <w:p w:rsidR="000D3C12" w:rsidRPr="00E048D2" w:rsidRDefault="000D3C12" w:rsidP="000D3C12">
      <w:pPr>
        <w:tabs>
          <w:tab w:val="left" w:pos="300"/>
          <w:tab w:val="left" w:pos="1000"/>
        </w:tabs>
        <w:spacing w:before="240" w:after="240"/>
        <w:ind w:right="-86"/>
        <w:jc w:val="both"/>
        <w:rPr>
          <w:sz w:val="16"/>
          <w:szCs w:val="16"/>
        </w:rPr>
      </w:pPr>
      <w:r w:rsidRPr="00E048D2">
        <w:rPr>
          <w:b/>
          <w:bCs/>
          <w:sz w:val="16"/>
          <w:szCs w:val="16"/>
        </w:rPr>
        <w:t xml:space="preserve">Keywords: </w:t>
      </w:r>
      <w:r w:rsidRPr="00E048D2">
        <w:rPr>
          <w:sz w:val="16"/>
          <w:szCs w:val="16"/>
        </w:rPr>
        <w:t>risk measure, generalized linear models, motor third party liability insurance</w:t>
      </w:r>
    </w:p>
    <w:p w:rsidR="000E4155" w:rsidRDefault="000E4155" w:rsidP="000D3C12">
      <w:pPr>
        <w:pStyle w:val="Heading1"/>
        <w:tabs>
          <w:tab w:val="left" w:pos="300"/>
        </w:tabs>
        <w:ind w:right="-86"/>
        <w:jc w:val="both"/>
        <w:rPr>
          <w:bCs w:val="0"/>
          <w:sz w:val="16"/>
          <w:szCs w:val="16"/>
        </w:rPr>
      </w:pPr>
    </w:p>
    <w:p w:rsidR="000D3C12" w:rsidRPr="00E048D2" w:rsidRDefault="000D3C12" w:rsidP="000D3C12">
      <w:pPr>
        <w:pStyle w:val="Heading1"/>
        <w:tabs>
          <w:tab w:val="left" w:pos="300"/>
        </w:tabs>
        <w:ind w:right="-86"/>
        <w:jc w:val="both"/>
        <w:rPr>
          <w:sz w:val="16"/>
          <w:szCs w:val="16"/>
        </w:rPr>
      </w:pPr>
      <w:r w:rsidRPr="00E048D2">
        <w:rPr>
          <w:bCs w:val="0"/>
          <w:sz w:val="16"/>
          <w:szCs w:val="16"/>
        </w:rPr>
        <w:t>TÜRKİYE TRAFİK SİGORTASI İÇİN RİSK ÖLÇÜMÜ</w:t>
      </w:r>
    </w:p>
    <w:p w:rsidR="000D3C12" w:rsidRPr="00E048D2" w:rsidRDefault="000D3C12" w:rsidP="000D3C12">
      <w:pPr>
        <w:tabs>
          <w:tab w:val="left" w:pos="300"/>
          <w:tab w:val="left" w:pos="1000"/>
        </w:tabs>
        <w:spacing w:before="240" w:after="240"/>
        <w:ind w:right="-86"/>
        <w:jc w:val="both"/>
        <w:rPr>
          <w:b/>
          <w:sz w:val="16"/>
          <w:szCs w:val="16"/>
        </w:rPr>
      </w:pPr>
      <w:r w:rsidRPr="00E048D2">
        <w:rPr>
          <w:b/>
          <w:sz w:val="16"/>
          <w:szCs w:val="16"/>
        </w:rPr>
        <w:t>ÖZET</w:t>
      </w:r>
    </w:p>
    <w:p w:rsidR="000D3C12" w:rsidRPr="00E048D2" w:rsidRDefault="000D3C12" w:rsidP="000D3C12">
      <w:pPr>
        <w:tabs>
          <w:tab w:val="left" w:pos="300"/>
          <w:tab w:val="left" w:pos="1000"/>
        </w:tabs>
        <w:spacing w:before="240" w:after="240"/>
        <w:ind w:right="-86"/>
        <w:jc w:val="both"/>
        <w:rPr>
          <w:sz w:val="16"/>
          <w:szCs w:val="16"/>
        </w:rPr>
      </w:pPr>
      <w:r w:rsidRPr="00E048D2">
        <w:rPr>
          <w:sz w:val="16"/>
          <w:szCs w:val="16"/>
        </w:rPr>
        <w:t xml:space="preserve">Bu çalışmada, özel bir sigorta şirketinden alınan trafik sigortası hasarlarına ilişkin veri kümesi </w:t>
      </w:r>
      <w:r>
        <w:rPr>
          <w:sz w:val="16"/>
          <w:szCs w:val="16"/>
        </w:rPr>
        <w:t>kullanılmı</w:t>
      </w:r>
      <w:r w:rsidRPr="00E048D2">
        <w:rPr>
          <w:sz w:val="16"/>
          <w:szCs w:val="16"/>
        </w:rPr>
        <w:t>ş, hasar tutarları modellenmiş ve model sonuçlarından yararlanılarak anlamlı olan açıklayıcı değişkenlere göre risk ölçüm hassasiyetleri</w:t>
      </w:r>
      <w:r>
        <w:rPr>
          <w:sz w:val="16"/>
          <w:szCs w:val="16"/>
        </w:rPr>
        <w:t xml:space="preserve"> i</w:t>
      </w:r>
      <w:r w:rsidRPr="00E048D2">
        <w:rPr>
          <w:sz w:val="16"/>
          <w:szCs w:val="16"/>
        </w:rPr>
        <w:t>ncelenmişt</w:t>
      </w:r>
      <w:r>
        <w:rPr>
          <w:sz w:val="16"/>
          <w:szCs w:val="16"/>
        </w:rPr>
        <w:t>i</w:t>
      </w:r>
      <w:r w:rsidRPr="00E048D2">
        <w:rPr>
          <w:sz w:val="16"/>
          <w:szCs w:val="16"/>
        </w:rPr>
        <w:t>r. Risk ölçümünde, Riske Maruz Değer (RMD) ve Beklenen Kayıp (BK) yöntemleri kullanılmıştır. Üç farklı güven düzeyinde elde edilen risk ölçümleri ile çeşitli risk sınıflarında oluşabilecek maksimum kayıp miktarları elde edilmiş ve sonuçlar karşılaştırılmıştır.</w:t>
      </w:r>
    </w:p>
    <w:p w:rsidR="000D3C12" w:rsidRPr="00E048D2" w:rsidRDefault="000D3C12" w:rsidP="000D3C12">
      <w:pPr>
        <w:tabs>
          <w:tab w:val="left" w:pos="300"/>
          <w:tab w:val="left" w:pos="1000"/>
        </w:tabs>
        <w:spacing w:before="240" w:after="240"/>
        <w:ind w:right="-86"/>
        <w:jc w:val="both"/>
        <w:rPr>
          <w:sz w:val="16"/>
          <w:szCs w:val="16"/>
        </w:rPr>
      </w:pPr>
      <w:r w:rsidRPr="000E4155">
        <w:rPr>
          <w:b/>
          <w:sz w:val="16"/>
          <w:szCs w:val="16"/>
        </w:rPr>
        <w:t>Anahtar sözcükler:</w:t>
      </w:r>
      <w:r w:rsidRPr="00E048D2">
        <w:rPr>
          <w:b/>
          <w:i/>
          <w:sz w:val="16"/>
          <w:szCs w:val="16"/>
        </w:rPr>
        <w:t xml:space="preserve"> </w:t>
      </w:r>
      <w:r w:rsidRPr="00E048D2">
        <w:rPr>
          <w:sz w:val="16"/>
          <w:szCs w:val="16"/>
        </w:rPr>
        <w:t>risk ölçüm</w:t>
      </w:r>
      <w:r>
        <w:rPr>
          <w:sz w:val="16"/>
          <w:szCs w:val="16"/>
        </w:rPr>
        <w:t>ü</w:t>
      </w:r>
      <w:r w:rsidRPr="00E048D2">
        <w:rPr>
          <w:sz w:val="16"/>
          <w:szCs w:val="16"/>
        </w:rPr>
        <w:t>, genelleştirilmiş doğrusal modeller, trafik sigortası.</w:t>
      </w:r>
    </w:p>
    <w:p w:rsidR="000D3C12" w:rsidRPr="00E048D2" w:rsidRDefault="000D3C12" w:rsidP="000D3C12">
      <w:pPr>
        <w:jc w:val="both"/>
        <w:rPr>
          <w:b/>
          <w:bCs/>
          <w:sz w:val="18"/>
          <w:szCs w:val="18"/>
        </w:rPr>
      </w:pPr>
      <w:r w:rsidRPr="00E048D2">
        <w:rPr>
          <w:b/>
          <w:bCs/>
          <w:sz w:val="18"/>
          <w:szCs w:val="18"/>
        </w:rPr>
        <w:t>1. GİRİŞ</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Hayat dışı sigorta branşında fiyatlandırma</w:t>
      </w:r>
      <w:r w:rsidR="00E84ABB">
        <w:rPr>
          <w:bCs/>
          <w:sz w:val="18"/>
          <w:szCs w:val="18"/>
        </w:rPr>
        <w:t xml:space="preserve"> yapılırken, beklenen hasarın</w:t>
      </w:r>
      <w:r w:rsidRPr="00E048D2">
        <w:rPr>
          <w:bCs/>
          <w:sz w:val="18"/>
          <w:szCs w:val="18"/>
        </w:rPr>
        <w:t xml:space="preserve"> her poliçe sahibine göre değişmesi nedeniyle</w:t>
      </w:r>
      <w:r w:rsidR="00E84ABB">
        <w:rPr>
          <w:bCs/>
          <w:sz w:val="18"/>
          <w:szCs w:val="18"/>
        </w:rPr>
        <w:t xml:space="preserve"> </w:t>
      </w:r>
      <w:r w:rsidRPr="00E048D2">
        <w:rPr>
          <w:bCs/>
          <w:sz w:val="18"/>
          <w:szCs w:val="18"/>
        </w:rPr>
        <w:t>istatistiksel modellere başvurulmaktadır.</w:t>
      </w:r>
      <w:r>
        <w:rPr>
          <w:bCs/>
          <w:sz w:val="18"/>
          <w:szCs w:val="18"/>
        </w:rPr>
        <w:t xml:space="preserve"> </w:t>
      </w:r>
      <w:r w:rsidRPr="00E048D2">
        <w:rPr>
          <w:bCs/>
          <w:sz w:val="18"/>
          <w:szCs w:val="18"/>
        </w:rPr>
        <w:t xml:space="preserve">Çoklu doğrusal regresyon modelinde </w:t>
      </w:r>
      <w:r w:rsidRPr="00E048D2">
        <w:rPr>
          <w:bCs/>
          <w:i/>
          <w:sz w:val="18"/>
          <w:szCs w:val="18"/>
        </w:rPr>
        <w:t xml:space="preserve">Y </w:t>
      </w:r>
      <w:r w:rsidRPr="00E048D2">
        <w:rPr>
          <w:bCs/>
          <w:sz w:val="18"/>
          <w:szCs w:val="18"/>
        </w:rPr>
        <w:t xml:space="preserve">bağımlı değişkeninin </w:t>
      </w:r>
      <w:r w:rsidRPr="00E048D2">
        <w:rPr>
          <w:bCs/>
          <w:i/>
          <w:sz w:val="18"/>
          <w:szCs w:val="18"/>
        </w:rPr>
        <w:t>x</w:t>
      </w:r>
      <w:r w:rsidRPr="00E048D2">
        <w:rPr>
          <w:bCs/>
          <w:sz w:val="18"/>
          <w:szCs w:val="18"/>
        </w:rPr>
        <w:t xml:space="preserve"> eşdeğişkenleri (açıklayıcı </w:t>
      </w:r>
      <w:r>
        <w:rPr>
          <w:bCs/>
          <w:sz w:val="18"/>
          <w:szCs w:val="18"/>
        </w:rPr>
        <w:t>değişkenler) ile değişimi</w:t>
      </w:r>
      <w:r w:rsidRPr="00E048D2">
        <w:rPr>
          <w:bCs/>
          <w:sz w:val="18"/>
          <w:szCs w:val="18"/>
        </w:rPr>
        <w:t xml:space="preserve"> incelenir. Klasik doğrusal regresyon, hayat dışı sigorta branşlarında fiyatlandırma için çok uygun değildir. Bunun genel olarak iki nedeni vardır:</w:t>
      </w:r>
    </w:p>
    <w:p w:rsidR="000D3C12" w:rsidRPr="00E048D2" w:rsidRDefault="000D3C12" w:rsidP="000D3C12">
      <w:pPr>
        <w:jc w:val="both"/>
        <w:rPr>
          <w:bCs/>
          <w:sz w:val="18"/>
          <w:szCs w:val="18"/>
        </w:rPr>
      </w:pPr>
    </w:p>
    <w:p w:rsidR="000D3C12" w:rsidRPr="00B00DFE" w:rsidRDefault="000D3C12" w:rsidP="000D3C12">
      <w:pPr>
        <w:pStyle w:val="ListParagraph"/>
        <w:numPr>
          <w:ilvl w:val="0"/>
          <w:numId w:val="4"/>
        </w:numPr>
        <w:jc w:val="both"/>
        <w:rPr>
          <w:bCs/>
          <w:sz w:val="18"/>
          <w:szCs w:val="18"/>
        </w:rPr>
      </w:pPr>
      <w:r w:rsidRPr="00B00DFE">
        <w:rPr>
          <w:bCs/>
          <w:sz w:val="18"/>
          <w:szCs w:val="18"/>
        </w:rPr>
        <w:t>Klasik doğrusal regresyonda hata terimlerinin normal dağıldığı varsayılır. Oysa</w:t>
      </w:r>
      <w:r>
        <w:rPr>
          <w:bCs/>
          <w:sz w:val="18"/>
          <w:szCs w:val="18"/>
        </w:rPr>
        <w:t xml:space="preserve"> </w:t>
      </w:r>
      <w:r w:rsidRPr="00B00DFE">
        <w:rPr>
          <w:bCs/>
          <w:sz w:val="18"/>
          <w:szCs w:val="18"/>
        </w:rPr>
        <w:t xml:space="preserve">ki sigorta verilerinde hasar sayısı kesikli olasılık dağılımına, hasar tutarları da pozitif değerli sağa çarpık dağılıma sahiptir. </w:t>
      </w:r>
    </w:p>
    <w:p w:rsidR="000D3C12" w:rsidRPr="00B00DFE" w:rsidRDefault="000D3C12" w:rsidP="000D3C12">
      <w:pPr>
        <w:pStyle w:val="ListParagraph"/>
        <w:numPr>
          <w:ilvl w:val="0"/>
          <w:numId w:val="4"/>
        </w:numPr>
        <w:jc w:val="both"/>
        <w:rPr>
          <w:bCs/>
          <w:sz w:val="18"/>
          <w:szCs w:val="18"/>
        </w:rPr>
      </w:pPr>
      <w:r w:rsidRPr="00B00DFE">
        <w:rPr>
          <w:bCs/>
          <w:sz w:val="18"/>
          <w:szCs w:val="18"/>
        </w:rPr>
        <w:t>Doğrusal modellerde ortalama</w:t>
      </w:r>
      <w:r>
        <w:rPr>
          <w:bCs/>
          <w:sz w:val="18"/>
          <w:szCs w:val="18"/>
        </w:rPr>
        <w:t>,</w:t>
      </w:r>
      <w:r w:rsidRPr="00B00DFE">
        <w:rPr>
          <w:bCs/>
          <w:sz w:val="18"/>
          <w:szCs w:val="18"/>
        </w:rPr>
        <w:t xml:space="preserve"> eşdeğişkenlerin doğrusal bir fonksiyonu iken çarpımsal modeller sigorta verileri için daha kullanışlı olabilmektedir [1].</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 xml:space="preserve">Yukarıda bahsedilen nedenlerle,  normal dağılım göstermeyen değişkenlerin de modellenmesini sağlayan ve çarpımsal biçimde de olabilen Genelleştirilmiş Doğrusal Modeller (GDM) daha sık tercih edilmektedir. </w:t>
      </w:r>
    </w:p>
    <w:p w:rsidR="000D3C12" w:rsidRPr="00E048D2" w:rsidRDefault="000D3C12" w:rsidP="000D3C12">
      <w:pPr>
        <w:jc w:val="both"/>
        <w:rPr>
          <w:sz w:val="18"/>
          <w:szCs w:val="18"/>
        </w:rPr>
      </w:pPr>
    </w:p>
    <w:p w:rsidR="000D3C12" w:rsidRPr="00E048D2" w:rsidRDefault="000D3C12" w:rsidP="000D3C12">
      <w:pPr>
        <w:jc w:val="both"/>
        <w:rPr>
          <w:bCs/>
          <w:sz w:val="18"/>
          <w:szCs w:val="18"/>
        </w:rPr>
      </w:pPr>
      <w:r w:rsidRPr="00E048D2">
        <w:rPr>
          <w:bCs/>
          <w:sz w:val="18"/>
          <w:szCs w:val="18"/>
        </w:rPr>
        <w:t xml:space="preserve">Bankalar ve sigorta şirketleri gibi finansal kurumlar, varlıklarını sürdürmeleri adına oluşabilecek beklenmedik zararları için nakit rezerv tutmaktadır.  Bu rezerve risk sermayesi denir ve ilgili </w:t>
      </w:r>
      <w:r w:rsidRPr="00E048D2">
        <w:rPr>
          <w:bCs/>
          <w:sz w:val="18"/>
          <w:szCs w:val="18"/>
        </w:rPr>
        <w:lastRenderedPageBreak/>
        <w:t>kurumların denetlemesinden sorumlu olan yasa koyucular bu sermayeyi bir risk ölçümü yöntemi ile belirler [2]. Literaturde birçok risk ölçümü yöntemi bulunmaktadır. Son yıllarda risk ölçümü alanında yapılan çalışmalar tutarlı risk ölçümleri üzerinde yoğunlaşmıştır. Tutarlı risk ölçümleri, pozitif homojenlik, monotonluk, alt-toplanabilirlik ve sapmasızlık özelliklerini sağlamaktadır [3]. Bu çalışmada, en çok tecih edilen iki risk ölçümü yöntemi kullanılmıştır: Riske Maruz Değer (</w:t>
      </w:r>
      <w:r w:rsidRPr="00E048D2">
        <w:rPr>
          <w:bCs/>
          <w:i/>
          <w:sz w:val="18"/>
          <w:szCs w:val="18"/>
        </w:rPr>
        <w:t>Value at Risk</w:t>
      </w:r>
      <w:r w:rsidRPr="00E048D2">
        <w:rPr>
          <w:bCs/>
          <w:sz w:val="18"/>
          <w:szCs w:val="18"/>
        </w:rPr>
        <w:t>) ve Beklenen Kayıp (</w:t>
      </w:r>
      <w:r w:rsidRPr="00E048D2">
        <w:rPr>
          <w:bCs/>
          <w:i/>
          <w:sz w:val="18"/>
          <w:szCs w:val="18"/>
        </w:rPr>
        <w:t>Expected Short Fall</w:t>
      </w:r>
      <w:r w:rsidRPr="00E048D2">
        <w:rPr>
          <w:bCs/>
          <w:sz w:val="18"/>
          <w:szCs w:val="18"/>
        </w:rPr>
        <w:t xml:space="preserve">). Beklenen Kayıp yöntemi tutarlı risk ölçümü yöntemleri içerisinde yer almaktadır. </w:t>
      </w:r>
    </w:p>
    <w:p w:rsidR="000D3C12" w:rsidRPr="00E048D2" w:rsidRDefault="000D3C12" w:rsidP="000D3C12">
      <w:pPr>
        <w:jc w:val="both"/>
        <w:rPr>
          <w:bCs/>
          <w:sz w:val="18"/>
          <w:szCs w:val="18"/>
        </w:rPr>
      </w:pPr>
    </w:p>
    <w:p w:rsidR="000D3C12" w:rsidRPr="00E048D2" w:rsidRDefault="000D3C12" w:rsidP="000D3C12">
      <w:pPr>
        <w:pStyle w:val="BodyText"/>
        <w:tabs>
          <w:tab w:val="left" w:pos="300"/>
        </w:tabs>
        <w:spacing w:after="240" w:line="240" w:lineRule="auto"/>
        <w:rPr>
          <w:rFonts w:ascii="Times New Roman" w:hAnsi="Times New Roman" w:cs="Times New Roman"/>
          <w:sz w:val="18"/>
          <w:szCs w:val="18"/>
        </w:rPr>
      </w:pPr>
      <w:r w:rsidRPr="00E048D2">
        <w:rPr>
          <w:rFonts w:ascii="Times New Roman" w:hAnsi="Times New Roman" w:cs="Times New Roman"/>
          <w:sz w:val="18"/>
          <w:szCs w:val="18"/>
        </w:rPr>
        <w:t xml:space="preserve">Bu çalışmada Türkiye’de özel bir sigorta şirketinden alınan trafik sigortasına ilişkin veri kümesi incelenmiş, hasar tutarı rastlantı değişkeni modellenmiş ve elde edilen model sonuçlarından yararlanılarak anlamlı olan eşdeğişkenlere göre risk ölçümü hassasiyetleri incelenmiştir. </w:t>
      </w:r>
    </w:p>
    <w:p w:rsidR="000D3C12" w:rsidRPr="00E048D2" w:rsidRDefault="000D3C12" w:rsidP="000D3C12">
      <w:pPr>
        <w:pStyle w:val="BodyText"/>
        <w:tabs>
          <w:tab w:val="left" w:pos="300"/>
        </w:tabs>
        <w:spacing w:after="240" w:line="240" w:lineRule="auto"/>
        <w:rPr>
          <w:rFonts w:ascii="Times New Roman" w:hAnsi="Times New Roman" w:cs="Times New Roman"/>
          <w:sz w:val="18"/>
          <w:szCs w:val="18"/>
        </w:rPr>
      </w:pPr>
      <w:r w:rsidRPr="00E048D2">
        <w:rPr>
          <w:rFonts w:ascii="Times New Roman" w:hAnsi="Times New Roman" w:cs="Times New Roman"/>
          <w:b/>
          <w:bCs/>
          <w:sz w:val="18"/>
          <w:szCs w:val="18"/>
        </w:rPr>
        <w:t xml:space="preserve">2. DOĞRUSAL MODELLER </w:t>
      </w:r>
    </w:p>
    <w:p w:rsidR="000D3C12" w:rsidRPr="00E048D2" w:rsidRDefault="000D3C12" w:rsidP="000D3C12">
      <w:pPr>
        <w:jc w:val="both"/>
        <w:rPr>
          <w:bCs/>
          <w:sz w:val="18"/>
          <w:szCs w:val="18"/>
        </w:rPr>
      </w:pPr>
      <w:r>
        <w:rPr>
          <w:bCs/>
          <w:sz w:val="18"/>
          <w:szCs w:val="18"/>
        </w:rPr>
        <w:t>Klasik doğrusal modeller ve genelleştirilmiş doğrusal m</w:t>
      </w:r>
      <w:r w:rsidRPr="00E048D2">
        <w:rPr>
          <w:bCs/>
          <w:sz w:val="18"/>
          <w:szCs w:val="18"/>
        </w:rPr>
        <w:t>odellerde ortak amaç, bağımlı değişken (</w:t>
      </w:r>
      <w:r w:rsidRPr="00E048D2">
        <w:rPr>
          <w:bCs/>
          <w:i/>
          <w:sz w:val="18"/>
          <w:szCs w:val="18"/>
        </w:rPr>
        <w:t>Y</w:t>
      </w:r>
      <w:r w:rsidRPr="00E048D2">
        <w:rPr>
          <w:bCs/>
          <w:sz w:val="18"/>
          <w:szCs w:val="18"/>
        </w:rPr>
        <w:t>) ile eşdeğişkenler (</w:t>
      </w:r>
      <w:r w:rsidRPr="00E048D2">
        <w:rPr>
          <w:bCs/>
          <w:i/>
          <w:sz w:val="18"/>
          <w:szCs w:val="18"/>
        </w:rPr>
        <w:t>X</w:t>
      </w:r>
      <w:r w:rsidRPr="00E048D2">
        <w:rPr>
          <w:bCs/>
          <w:sz w:val="18"/>
          <w:szCs w:val="18"/>
        </w:rPr>
        <w:t xml:space="preserve">) arasındaki ilişkiye açıklık getirmektir. Klasik doğrusal bir modelde </w:t>
      </w:r>
      <w:r w:rsidRPr="00E048D2">
        <w:rPr>
          <w:bCs/>
          <w:i/>
          <w:sz w:val="18"/>
          <w:szCs w:val="18"/>
        </w:rPr>
        <w:t>Y</w:t>
      </w:r>
      <w:r w:rsidRPr="00E048D2">
        <w:rPr>
          <w:bCs/>
          <w:sz w:val="18"/>
          <w:szCs w:val="18"/>
        </w:rPr>
        <w:t xml:space="preserve">  bağımlı değişkeni, ortalama değeri (</w:t>
      </w:r>
      <w:r w:rsidRPr="00E048D2">
        <w:rPr>
          <w:bCs/>
          <w:i/>
          <w:sz w:val="18"/>
          <w:szCs w:val="18"/>
        </w:rPr>
        <w:t>µ</w:t>
      </w:r>
      <w:r w:rsidRPr="00E048D2">
        <w:rPr>
          <w:bCs/>
          <w:sz w:val="18"/>
          <w:szCs w:val="18"/>
        </w:rPr>
        <w:t>) ve rastgele hata teriminin (</w:t>
      </w:r>
      <w:r w:rsidRPr="00E048D2">
        <w:rPr>
          <w:bCs/>
          <w:i/>
          <w:sz w:val="18"/>
          <w:szCs w:val="18"/>
        </w:rPr>
        <w:t>ɛ</w:t>
      </w:r>
      <w:r w:rsidRPr="00E048D2">
        <w:rPr>
          <w:bCs/>
          <w:sz w:val="18"/>
          <w:szCs w:val="18"/>
        </w:rPr>
        <w:t xml:space="preserve">) toplamından oluşur. </w:t>
      </w:r>
      <w:r w:rsidRPr="00E048D2">
        <w:rPr>
          <w:bCs/>
          <w:i/>
          <w:sz w:val="18"/>
          <w:szCs w:val="18"/>
        </w:rPr>
        <w:t>Y</w:t>
      </w:r>
      <w:r w:rsidRPr="00E048D2">
        <w:rPr>
          <w:bCs/>
          <w:sz w:val="18"/>
          <w:szCs w:val="18"/>
        </w:rPr>
        <w:t>’nin beklenen değeri eşdeğişkenlerin doğrusal kombinasyonu olarak ifade edilmekte ve hata teriminin sıfır ortalama, sabit varyans ile normal dağıldığı varsayılmaktadır. Modelin sistematik kısmı aşağıdaki gibidir.</w:t>
      </w:r>
    </w:p>
    <w:p w:rsidR="000D3C12" w:rsidRPr="00E048D2" w:rsidRDefault="000D3C12" w:rsidP="000D3C12">
      <w:pPr>
        <w:jc w:val="both"/>
        <w:rPr>
          <w:bCs/>
          <w:sz w:val="18"/>
          <w:szCs w:val="18"/>
        </w:rPr>
      </w:pPr>
    </w:p>
    <w:p w:rsidR="000D3C12" w:rsidRPr="00E048D2" w:rsidRDefault="000D3C12" w:rsidP="000D3C12">
      <w:pPr>
        <w:jc w:val="both"/>
        <w:rPr>
          <w:sz w:val="18"/>
          <w:szCs w:val="18"/>
        </w:rPr>
      </w:pPr>
      <w:r w:rsidRPr="00E048D2">
        <w:rPr>
          <w:position w:val="-30"/>
          <w:sz w:val="18"/>
          <w:szCs w:val="18"/>
        </w:rPr>
        <w:object w:dxaOrig="1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pt" o:ole="">
            <v:imagedata r:id="rId8" o:title=""/>
          </v:shape>
          <o:OLEObject Type="Embed" ProgID="Equation.DSMT4" ShapeID="_x0000_i1025" DrawAspect="Content" ObjectID="_1474720002" r:id="rId9"/>
        </w:object>
      </w:r>
      <w:r w:rsidRPr="00E048D2">
        <w:rPr>
          <w:sz w:val="18"/>
          <w:szCs w:val="18"/>
        </w:rPr>
        <w:t xml:space="preserve">                                                                                                                               </w:t>
      </w:r>
      <w:r>
        <w:rPr>
          <w:sz w:val="18"/>
          <w:szCs w:val="18"/>
        </w:rPr>
        <w:t>(</w:t>
      </w:r>
      <w:r w:rsidRPr="00E048D2">
        <w:rPr>
          <w:sz w:val="18"/>
          <w:szCs w:val="18"/>
        </w:rPr>
        <w:t>1)</w:t>
      </w:r>
    </w:p>
    <w:p w:rsidR="000D3C12" w:rsidRPr="00E048D2" w:rsidRDefault="000D3C12" w:rsidP="000D3C12">
      <w:pPr>
        <w:jc w:val="both"/>
        <w:rPr>
          <w:bCs/>
          <w:sz w:val="18"/>
          <w:szCs w:val="18"/>
        </w:rPr>
      </w:pPr>
      <w:r w:rsidRPr="00E048D2">
        <w:rPr>
          <w:bCs/>
          <w:sz w:val="18"/>
          <w:szCs w:val="18"/>
        </w:rPr>
        <w:t xml:space="preserve">Burada </w:t>
      </w:r>
      <w:r w:rsidRPr="00E048D2">
        <w:rPr>
          <w:bCs/>
          <w:i/>
          <w:sz w:val="18"/>
          <w:szCs w:val="18"/>
        </w:rPr>
        <w:t>β</w:t>
      </w:r>
      <w:r w:rsidRPr="00E048D2">
        <w:rPr>
          <w:bCs/>
          <w:sz w:val="18"/>
          <w:szCs w:val="18"/>
        </w:rPr>
        <w:t xml:space="preserve"> değerleri bilinmeyen, tahmin edilecek olan parametrelerdir. Modelin rassal kısmında hata terimlerinin birbirinden bağımsız olduğu ve sabit varsanslı olduğu varsayımı güçlü bir varsayımdır. Üç maddede özetlenirse,</w:t>
      </w:r>
    </w:p>
    <w:p w:rsidR="000D3C12" w:rsidRPr="00E048D2" w:rsidRDefault="000D3C12" w:rsidP="000D3C12">
      <w:pPr>
        <w:jc w:val="both"/>
        <w:rPr>
          <w:bCs/>
          <w:sz w:val="18"/>
          <w:szCs w:val="18"/>
        </w:rPr>
      </w:pPr>
    </w:p>
    <w:p w:rsidR="000D3C12" w:rsidRDefault="000D3C12" w:rsidP="000D3C12">
      <w:pPr>
        <w:numPr>
          <w:ilvl w:val="0"/>
          <w:numId w:val="1"/>
        </w:numPr>
        <w:ind w:left="0" w:firstLine="0"/>
        <w:jc w:val="both"/>
        <w:rPr>
          <w:bCs/>
          <w:sz w:val="18"/>
          <w:szCs w:val="18"/>
        </w:rPr>
      </w:pPr>
      <w:r w:rsidRPr="00E048D2">
        <w:rPr>
          <w:bCs/>
          <w:sz w:val="18"/>
          <w:szCs w:val="18"/>
        </w:rPr>
        <w:t xml:space="preserve">Rassal bileşen: Y rastlantı değişkeninin bileşenleri </w:t>
      </w:r>
      <w:r w:rsidRPr="00E048D2">
        <w:rPr>
          <w:bCs/>
          <w:i/>
          <w:sz w:val="18"/>
          <w:szCs w:val="18"/>
        </w:rPr>
        <w:t>E(Y)=µ</w:t>
      </w:r>
      <w:r w:rsidRPr="00E048D2">
        <w:rPr>
          <w:bCs/>
          <w:sz w:val="18"/>
          <w:szCs w:val="18"/>
        </w:rPr>
        <w:t xml:space="preserve"> ortalama ve sabit varyans ile bağımsız normal dağılıma sahiptir.  </w:t>
      </w:r>
    </w:p>
    <w:p w:rsidR="000D3C12" w:rsidRPr="00E048D2" w:rsidRDefault="000D3C12" w:rsidP="000D3C12">
      <w:pPr>
        <w:jc w:val="both"/>
        <w:rPr>
          <w:bCs/>
          <w:sz w:val="18"/>
          <w:szCs w:val="18"/>
        </w:rPr>
      </w:pPr>
    </w:p>
    <w:p w:rsidR="000D3C12" w:rsidRPr="00E048D2" w:rsidRDefault="000D3C12" w:rsidP="000D3C12">
      <w:pPr>
        <w:numPr>
          <w:ilvl w:val="0"/>
          <w:numId w:val="1"/>
        </w:numPr>
        <w:ind w:left="0" w:firstLine="0"/>
        <w:jc w:val="both"/>
        <w:rPr>
          <w:bCs/>
          <w:sz w:val="18"/>
          <w:szCs w:val="18"/>
        </w:rPr>
      </w:pPr>
      <w:r w:rsidRPr="00E048D2">
        <w:rPr>
          <w:bCs/>
          <w:sz w:val="18"/>
          <w:szCs w:val="18"/>
        </w:rPr>
        <w:t xml:space="preserve">Sistematik bileşen: eşdeğişkenler doğrusal önkestirici </w:t>
      </w:r>
      <w:r w:rsidRPr="00E048D2">
        <w:rPr>
          <w:bCs/>
          <w:i/>
          <w:sz w:val="18"/>
          <w:szCs w:val="18"/>
        </w:rPr>
        <w:t>η</w:t>
      </w:r>
      <w:r w:rsidRPr="00E048D2">
        <w:rPr>
          <w:bCs/>
          <w:sz w:val="18"/>
          <w:szCs w:val="18"/>
        </w:rPr>
        <w:t>’yı verir,</w:t>
      </w:r>
    </w:p>
    <w:p w:rsidR="000D3C12" w:rsidRPr="00E048D2" w:rsidRDefault="000D3C12" w:rsidP="000D3C12">
      <w:pPr>
        <w:jc w:val="both"/>
        <w:rPr>
          <w:sz w:val="18"/>
          <w:szCs w:val="18"/>
        </w:rPr>
      </w:pPr>
      <w:r w:rsidRPr="00E048D2">
        <w:rPr>
          <w:position w:val="-30"/>
          <w:sz w:val="18"/>
          <w:szCs w:val="18"/>
        </w:rPr>
        <w:object w:dxaOrig="999" w:dyaOrig="700">
          <v:shape id="_x0000_i1026" type="#_x0000_t75" style="width:51pt;height:36pt" o:ole="">
            <v:imagedata r:id="rId10" o:title=""/>
          </v:shape>
          <o:OLEObject Type="Embed" ProgID="Equation.DSMT4" ShapeID="_x0000_i1026" DrawAspect="Content" ObjectID="_1474720003" r:id="rId11"/>
        </w:object>
      </w:r>
      <w:r w:rsidRPr="00E048D2">
        <w:rPr>
          <w:sz w:val="18"/>
          <w:szCs w:val="18"/>
        </w:rPr>
        <w:t xml:space="preserve">                                                                                                                                  (2)</w:t>
      </w:r>
    </w:p>
    <w:p w:rsidR="000D3C12" w:rsidRPr="00E048D2" w:rsidRDefault="000D3C12" w:rsidP="000D3C12">
      <w:pPr>
        <w:jc w:val="both"/>
        <w:rPr>
          <w:sz w:val="18"/>
          <w:szCs w:val="18"/>
        </w:rPr>
      </w:pPr>
    </w:p>
    <w:p w:rsidR="000D3C12" w:rsidRPr="00E048D2" w:rsidRDefault="000D3C12" w:rsidP="000D3C12">
      <w:pPr>
        <w:numPr>
          <w:ilvl w:val="0"/>
          <w:numId w:val="1"/>
        </w:numPr>
        <w:ind w:left="0" w:firstLine="0"/>
        <w:jc w:val="both"/>
        <w:rPr>
          <w:bCs/>
          <w:sz w:val="18"/>
          <w:szCs w:val="18"/>
        </w:rPr>
      </w:pPr>
      <w:r w:rsidRPr="00E048D2">
        <w:rPr>
          <w:bCs/>
          <w:sz w:val="18"/>
          <w:szCs w:val="18"/>
        </w:rPr>
        <w:t xml:space="preserve">Rassal ve sistematik bileşen arasındaki bağ, </w:t>
      </w:r>
      <w:r w:rsidRPr="00E048D2">
        <w:rPr>
          <w:bCs/>
          <w:i/>
          <w:sz w:val="18"/>
          <w:szCs w:val="18"/>
        </w:rPr>
        <w:t xml:space="preserve">µ=η </w:t>
      </w:r>
      <w:r w:rsidRPr="00E048D2">
        <w:rPr>
          <w:bCs/>
          <w:sz w:val="18"/>
          <w:szCs w:val="18"/>
        </w:rPr>
        <w:t xml:space="preserve">biçimindedir.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 xml:space="preserve">Üçüncü bileşen örneklemdeki </w:t>
      </w:r>
      <w:r w:rsidRPr="00E048D2">
        <w:rPr>
          <w:bCs/>
          <w:i/>
          <w:sz w:val="18"/>
          <w:szCs w:val="18"/>
        </w:rPr>
        <w:t>i</w:t>
      </w:r>
      <w:r w:rsidRPr="00E048D2">
        <w:rPr>
          <w:bCs/>
          <w:sz w:val="18"/>
          <w:szCs w:val="18"/>
        </w:rPr>
        <w:t xml:space="preserve">. birey için </w:t>
      </w:r>
      <w:r w:rsidRPr="00E048D2">
        <w:rPr>
          <w:bCs/>
          <w:i/>
          <w:sz w:val="18"/>
          <w:szCs w:val="18"/>
        </w:rPr>
        <w:t>η</w:t>
      </w:r>
      <w:r w:rsidRPr="00E048D2">
        <w:rPr>
          <w:bCs/>
          <w:i/>
          <w:sz w:val="18"/>
          <w:szCs w:val="18"/>
          <w:vertAlign w:val="subscript"/>
        </w:rPr>
        <w:t>i</w:t>
      </w:r>
      <w:r w:rsidRPr="00E048D2">
        <w:rPr>
          <w:bCs/>
          <w:i/>
          <w:sz w:val="18"/>
          <w:szCs w:val="18"/>
        </w:rPr>
        <w:t>=g(µ</w:t>
      </w:r>
      <w:r w:rsidRPr="00E048D2">
        <w:rPr>
          <w:bCs/>
          <w:i/>
          <w:sz w:val="18"/>
          <w:szCs w:val="18"/>
          <w:vertAlign w:val="subscript"/>
        </w:rPr>
        <w:t>i</w:t>
      </w:r>
      <w:r w:rsidRPr="00E048D2">
        <w:rPr>
          <w:bCs/>
          <w:i/>
          <w:sz w:val="18"/>
          <w:szCs w:val="18"/>
        </w:rPr>
        <w:t xml:space="preserve">) </w:t>
      </w:r>
      <w:r w:rsidRPr="00E048D2">
        <w:rPr>
          <w:bCs/>
          <w:sz w:val="18"/>
          <w:szCs w:val="18"/>
        </w:rPr>
        <w:t>biçiminde</w:t>
      </w:r>
      <w:r w:rsidRPr="00E048D2">
        <w:rPr>
          <w:bCs/>
          <w:i/>
          <w:sz w:val="18"/>
          <w:szCs w:val="18"/>
        </w:rPr>
        <w:t xml:space="preserve"> </w:t>
      </w:r>
      <w:r w:rsidRPr="00E048D2">
        <w:rPr>
          <w:bCs/>
          <w:sz w:val="18"/>
          <w:szCs w:val="18"/>
        </w:rPr>
        <w:t xml:space="preserve">ifade edilirse, g(.)’ye bağ fonksiyonu denir [4].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Klasik doğrusal modellerin GDM biçiminde genelleştirilmesi şöyle özetlenebilir,</w:t>
      </w:r>
    </w:p>
    <w:p w:rsidR="000D3C12" w:rsidRPr="00E048D2" w:rsidRDefault="000D3C12" w:rsidP="000D3C12">
      <w:pPr>
        <w:jc w:val="both"/>
        <w:rPr>
          <w:bCs/>
          <w:sz w:val="18"/>
          <w:szCs w:val="18"/>
        </w:rPr>
      </w:pPr>
    </w:p>
    <w:p w:rsidR="000D3C12" w:rsidRPr="002A0609" w:rsidRDefault="000D3C12" w:rsidP="000D3C12">
      <w:pPr>
        <w:pStyle w:val="ListParagraph"/>
        <w:numPr>
          <w:ilvl w:val="0"/>
          <w:numId w:val="5"/>
        </w:numPr>
        <w:spacing w:after="200" w:line="276" w:lineRule="auto"/>
        <w:jc w:val="both"/>
        <w:rPr>
          <w:bCs/>
          <w:sz w:val="18"/>
          <w:szCs w:val="18"/>
        </w:rPr>
      </w:pPr>
      <w:r w:rsidRPr="002A0609">
        <w:rPr>
          <w:bCs/>
          <w:sz w:val="18"/>
          <w:szCs w:val="18"/>
        </w:rPr>
        <w:t>Ortalamadan rastgele sapmalar, normal dağılım dışında başka dağılımlara sahip olabilmektedir. Bu dağılımlar, üstel dağılım ailesinden herhangi bir dağılı</w:t>
      </w:r>
      <w:r w:rsidR="00CA4CC7">
        <w:rPr>
          <w:bCs/>
          <w:sz w:val="18"/>
          <w:szCs w:val="18"/>
        </w:rPr>
        <w:t>m (Poisson, gamma, ters Gauss</w:t>
      </w:r>
      <w:r w:rsidRPr="002A0609">
        <w:rPr>
          <w:bCs/>
          <w:sz w:val="18"/>
          <w:szCs w:val="18"/>
        </w:rPr>
        <w:t xml:space="preserve"> v.b.) olabilir. </w:t>
      </w:r>
    </w:p>
    <w:p w:rsidR="000D3C12" w:rsidRPr="002A0609" w:rsidRDefault="000D3C12" w:rsidP="000D3C12">
      <w:pPr>
        <w:pStyle w:val="ListParagraph"/>
        <w:numPr>
          <w:ilvl w:val="0"/>
          <w:numId w:val="5"/>
        </w:numPr>
        <w:spacing w:after="200" w:line="276" w:lineRule="auto"/>
        <w:jc w:val="both"/>
        <w:rPr>
          <w:bCs/>
          <w:sz w:val="18"/>
          <w:szCs w:val="18"/>
        </w:rPr>
      </w:pPr>
      <w:r w:rsidRPr="002A0609">
        <w:rPr>
          <w:bCs/>
          <w:sz w:val="18"/>
          <w:szCs w:val="18"/>
        </w:rPr>
        <w:t>Sıradan doğrusal modellerde, bağımlı değişkenin ortalaması açıklayıcı değişkenlerin doğrusal bir fonksiyonu iken GDM’de başka bir ölçekte doğrusal olabilmektedir. Bağ fonksiyonunun biçimlerine göre bu ölçek değişmektedir</w:t>
      </w:r>
      <w:r>
        <w:rPr>
          <w:bCs/>
          <w:sz w:val="18"/>
          <w:szCs w:val="18"/>
        </w:rPr>
        <w:t xml:space="preserve"> [5]</w:t>
      </w:r>
      <w:r w:rsidRPr="002A0609">
        <w:rPr>
          <w:bCs/>
          <w:sz w:val="18"/>
          <w:szCs w:val="18"/>
        </w:rPr>
        <w:t xml:space="preserve">. </w:t>
      </w:r>
    </w:p>
    <w:p w:rsidR="000D3C12" w:rsidRPr="00E048D2" w:rsidRDefault="000D3C12" w:rsidP="000D3C12">
      <w:pPr>
        <w:jc w:val="both"/>
        <w:rPr>
          <w:bCs/>
          <w:sz w:val="18"/>
          <w:szCs w:val="18"/>
        </w:rPr>
      </w:pPr>
      <w:r w:rsidRPr="00E048D2">
        <w:rPr>
          <w:bCs/>
          <w:sz w:val="18"/>
          <w:szCs w:val="18"/>
        </w:rPr>
        <w:lastRenderedPageBreak/>
        <w:t xml:space="preserve">Doğrusal modellerde rassal ve sistematik bileşenler arasındaki ilişki bağ fonksiyonu ile sağlanır. Klasik doğrusal modelde bağ fonksiyonu birim fonksiyondur. Genelleştirilmiş doğrusal modellerde, bağımlı değişkenin üstel dağılım ailesinden bir dağılıma sahip olduğu ve bağ fonksiyonunun monoton diferansiyellenebilir bir fonksiyon olduğu varsayılır. Bağımlı değişkenin üstel aileden bir dağılıma sahip olmasının sonucu olarak, bu değişken genellikle değişen varyansa sahiptir. </w:t>
      </w:r>
    </w:p>
    <w:p w:rsidR="000D3C12" w:rsidRPr="00E048D2" w:rsidRDefault="000D3C12" w:rsidP="000D3C12">
      <w:pPr>
        <w:rPr>
          <w:bCs/>
          <w:sz w:val="18"/>
          <w:szCs w:val="18"/>
        </w:rPr>
      </w:pPr>
    </w:p>
    <w:p w:rsidR="000D3C12" w:rsidRPr="00E048D2" w:rsidRDefault="000D3C12" w:rsidP="000D3C12">
      <w:pPr>
        <w:rPr>
          <w:bCs/>
          <w:sz w:val="18"/>
          <w:szCs w:val="18"/>
        </w:rPr>
      </w:pPr>
      <w:r w:rsidRPr="00E048D2">
        <w:rPr>
          <w:bCs/>
          <w:sz w:val="18"/>
          <w:szCs w:val="18"/>
        </w:rPr>
        <w:t>Literatürde kullanılan bazı önemli bağ fonksiyonları Çizelge 1’de verilmektedir [6],</w:t>
      </w:r>
    </w:p>
    <w:p w:rsidR="000D3C12" w:rsidRPr="00E048D2" w:rsidRDefault="000D3C12" w:rsidP="000D3C12">
      <w:pPr>
        <w:rPr>
          <w:bCs/>
          <w:sz w:val="18"/>
          <w:szCs w:val="18"/>
        </w:rPr>
      </w:pPr>
    </w:p>
    <w:p w:rsidR="000D3C12" w:rsidRPr="00E048D2" w:rsidRDefault="000D3C12" w:rsidP="000D3C12">
      <w:pPr>
        <w:jc w:val="both"/>
        <w:rPr>
          <w:sz w:val="18"/>
          <w:szCs w:val="18"/>
        </w:rPr>
      </w:pPr>
      <w:r w:rsidRPr="00E048D2">
        <w:rPr>
          <w:b/>
          <w:sz w:val="18"/>
          <w:szCs w:val="18"/>
        </w:rPr>
        <w:t xml:space="preserve">                                 Çizelge 1.</w:t>
      </w:r>
      <w:r w:rsidRPr="00E048D2">
        <w:rPr>
          <w:sz w:val="18"/>
          <w:szCs w:val="18"/>
        </w:rPr>
        <w:t xml:space="preserve">Literatürde kullanılan bazı bağ fonksiyonları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89"/>
      </w:tblGrid>
      <w:tr w:rsidR="000D3C12" w:rsidRPr="00E048D2" w:rsidTr="00C30AD1">
        <w:trPr>
          <w:trHeight w:val="312"/>
          <w:jc w:val="center"/>
        </w:trPr>
        <w:tc>
          <w:tcPr>
            <w:tcW w:w="2558" w:type="dxa"/>
            <w:shd w:val="clear" w:color="auto" w:fill="auto"/>
          </w:tcPr>
          <w:p w:rsidR="000D3C12" w:rsidRPr="00E048D2" w:rsidRDefault="000D3C12" w:rsidP="00C30AD1">
            <w:pPr>
              <w:jc w:val="center"/>
              <w:rPr>
                <w:b/>
                <w:bCs/>
                <w:sz w:val="18"/>
                <w:szCs w:val="18"/>
              </w:rPr>
            </w:pPr>
            <w:r w:rsidRPr="00E048D2">
              <w:rPr>
                <w:b/>
                <w:bCs/>
                <w:sz w:val="18"/>
                <w:szCs w:val="18"/>
              </w:rPr>
              <w:t>Bağ Fonksiyonu</w:t>
            </w:r>
          </w:p>
        </w:tc>
        <w:tc>
          <w:tcPr>
            <w:tcW w:w="2589" w:type="dxa"/>
            <w:shd w:val="clear" w:color="auto" w:fill="auto"/>
          </w:tcPr>
          <w:p w:rsidR="000D3C12" w:rsidRPr="00E048D2" w:rsidRDefault="000D3C12" w:rsidP="00C30AD1">
            <w:pPr>
              <w:jc w:val="center"/>
              <w:rPr>
                <w:b/>
                <w:bCs/>
                <w:sz w:val="18"/>
                <w:szCs w:val="18"/>
              </w:rPr>
            </w:pPr>
            <w:r w:rsidRPr="00E048D2">
              <w:rPr>
                <w:b/>
                <w:bCs/>
                <w:sz w:val="18"/>
                <w:szCs w:val="18"/>
              </w:rPr>
              <w:t>g (µ)</w:t>
            </w:r>
          </w:p>
        </w:tc>
      </w:tr>
      <w:tr w:rsidR="000D3C12" w:rsidRPr="00E048D2" w:rsidTr="00C30AD1">
        <w:trPr>
          <w:trHeight w:val="312"/>
          <w:jc w:val="center"/>
        </w:trPr>
        <w:tc>
          <w:tcPr>
            <w:tcW w:w="2558" w:type="dxa"/>
            <w:shd w:val="clear" w:color="auto" w:fill="auto"/>
          </w:tcPr>
          <w:p w:rsidR="000D3C12" w:rsidRPr="00E048D2" w:rsidRDefault="000D3C12" w:rsidP="00C30AD1">
            <w:pPr>
              <w:jc w:val="center"/>
              <w:rPr>
                <w:bCs/>
                <w:sz w:val="18"/>
                <w:szCs w:val="18"/>
              </w:rPr>
            </w:pPr>
            <w:r w:rsidRPr="00E048D2">
              <w:rPr>
                <w:bCs/>
                <w:sz w:val="18"/>
                <w:szCs w:val="18"/>
              </w:rPr>
              <w:t>Birim</w:t>
            </w:r>
          </w:p>
        </w:tc>
        <w:tc>
          <w:tcPr>
            <w:tcW w:w="2589" w:type="dxa"/>
            <w:shd w:val="clear" w:color="auto" w:fill="auto"/>
          </w:tcPr>
          <w:p w:rsidR="000D3C12" w:rsidRPr="00E048D2" w:rsidRDefault="000D3C12" w:rsidP="00C30AD1">
            <w:pPr>
              <w:jc w:val="center"/>
              <w:rPr>
                <w:bCs/>
                <w:sz w:val="18"/>
                <w:szCs w:val="18"/>
              </w:rPr>
            </w:pPr>
            <w:r w:rsidRPr="00E048D2">
              <w:rPr>
                <w:bCs/>
                <w:sz w:val="18"/>
                <w:szCs w:val="18"/>
              </w:rPr>
              <w:t>µ</w:t>
            </w:r>
          </w:p>
        </w:tc>
      </w:tr>
      <w:tr w:rsidR="000D3C12" w:rsidRPr="00E048D2" w:rsidTr="00C30AD1">
        <w:trPr>
          <w:trHeight w:val="295"/>
          <w:jc w:val="center"/>
        </w:trPr>
        <w:tc>
          <w:tcPr>
            <w:tcW w:w="2558" w:type="dxa"/>
            <w:shd w:val="clear" w:color="auto" w:fill="auto"/>
          </w:tcPr>
          <w:p w:rsidR="000D3C12" w:rsidRPr="00E048D2" w:rsidRDefault="000D3C12" w:rsidP="00C30AD1">
            <w:pPr>
              <w:jc w:val="center"/>
              <w:rPr>
                <w:bCs/>
                <w:sz w:val="18"/>
                <w:szCs w:val="18"/>
              </w:rPr>
            </w:pPr>
            <w:r w:rsidRPr="00E048D2">
              <w:rPr>
                <w:bCs/>
                <w:sz w:val="18"/>
                <w:szCs w:val="18"/>
              </w:rPr>
              <w:t>Log</w:t>
            </w:r>
          </w:p>
        </w:tc>
        <w:tc>
          <w:tcPr>
            <w:tcW w:w="2589" w:type="dxa"/>
            <w:shd w:val="clear" w:color="auto" w:fill="auto"/>
          </w:tcPr>
          <w:p w:rsidR="000D3C12" w:rsidRPr="00E048D2" w:rsidRDefault="000D3C12" w:rsidP="00C30AD1">
            <w:pPr>
              <w:jc w:val="center"/>
              <w:rPr>
                <w:bCs/>
                <w:sz w:val="18"/>
                <w:szCs w:val="18"/>
              </w:rPr>
            </w:pPr>
            <w:r w:rsidRPr="00E048D2">
              <w:rPr>
                <w:bCs/>
                <w:sz w:val="18"/>
                <w:szCs w:val="18"/>
              </w:rPr>
              <w:t>ln µ</w:t>
            </w:r>
          </w:p>
        </w:tc>
      </w:tr>
      <w:tr w:rsidR="000D3C12" w:rsidRPr="00E048D2" w:rsidTr="00C30AD1">
        <w:trPr>
          <w:trHeight w:val="312"/>
          <w:jc w:val="center"/>
        </w:trPr>
        <w:tc>
          <w:tcPr>
            <w:tcW w:w="2558" w:type="dxa"/>
            <w:shd w:val="clear" w:color="auto" w:fill="auto"/>
          </w:tcPr>
          <w:p w:rsidR="000D3C12" w:rsidRPr="00E048D2" w:rsidRDefault="000D3C12" w:rsidP="00C30AD1">
            <w:pPr>
              <w:jc w:val="center"/>
              <w:rPr>
                <w:bCs/>
                <w:sz w:val="18"/>
                <w:szCs w:val="18"/>
              </w:rPr>
            </w:pPr>
            <w:r w:rsidRPr="00E048D2">
              <w:rPr>
                <w:bCs/>
                <w:sz w:val="18"/>
                <w:szCs w:val="18"/>
              </w:rPr>
              <w:t>Kuvvet</w:t>
            </w:r>
          </w:p>
        </w:tc>
        <w:tc>
          <w:tcPr>
            <w:tcW w:w="2589" w:type="dxa"/>
            <w:shd w:val="clear" w:color="auto" w:fill="auto"/>
          </w:tcPr>
          <w:p w:rsidR="000D3C12" w:rsidRPr="00E048D2" w:rsidRDefault="000D3C12" w:rsidP="00C30AD1">
            <w:pPr>
              <w:jc w:val="center"/>
              <w:rPr>
                <w:bCs/>
                <w:sz w:val="18"/>
                <w:szCs w:val="18"/>
                <w:vertAlign w:val="superscript"/>
              </w:rPr>
            </w:pPr>
            <w:r w:rsidRPr="00E048D2">
              <w:rPr>
                <w:bCs/>
                <w:sz w:val="18"/>
                <w:szCs w:val="18"/>
              </w:rPr>
              <w:t>µ</w:t>
            </w:r>
            <w:r w:rsidRPr="00E048D2">
              <w:rPr>
                <w:bCs/>
                <w:sz w:val="18"/>
                <w:szCs w:val="18"/>
                <w:vertAlign w:val="superscript"/>
              </w:rPr>
              <w:t>p</w:t>
            </w:r>
          </w:p>
        </w:tc>
      </w:tr>
      <w:tr w:rsidR="000D3C12" w:rsidRPr="00E048D2" w:rsidTr="00C30AD1">
        <w:trPr>
          <w:trHeight w:val="312"/>
          <w:jc w:val="center"/>
        </w:trPr>
        <w:tc>
          <w:tcPr>
            <w:tcW w:w="2558" w:type="dxa"/>
            <w:shd w:val="clear" w:color="auto" w:fill="auto"/>
          </w:tcPr>
          <w:p w:rsidR="000D3C12" w:rsidRPr="00E048D2" w:rsidRDefault="000D3C12" w:rsidP="00C30AD1">
            <w:pPr>
              <w:jc w:val="center"/>
              <w:rPr>
                <w:bCs/>
                <w:sz w:val="18"/>
                <w:szCs w:val="18"/>
              </w:rPr>
            </w:pPr>
            <w:r w:rsidRPr="00E048D2">
              <w:rPr>
                <w:bCs/>
                <w:sz w:val="18"/>
                <w:szCs w:val="18"/>
              </w:rPr>
              <w:t>Logit</w:t>
            </w:r>
          </w:p>
        </w:tc>
        <w:tc>
          <w:tcPr>
            <w:tcW w:w="2589" w:type="dxa"/>
            <w:shd w:val="clear" w:color="auto" w:fill="auto"/>
          </w:tcPr>
          <w:p w:rsidR="000D3C12" w:rsidRPr="00E048D2" w:rsidRDefault="000D3C12" w:rsidP="00C30AD1">
            <w:pPr>
              <w:jc w:val="center"/>
              <w:rPr>
                <w:bCs/>
                <w:sz w:val="18"/>
                <w:szCs w:val="18"/>
              </w:rPr>
            </w:pPr>
            <w:r w:rsidRPr="00E048D2">
              <w:rPr>
                <w:bCs/>
                <w:sz w:val="18"/>
                <w:szCs w:val="18"/>
              </w:rPr>
              <w:t>ln (µ/(1- µ))</w:t>
            </w:r>
          </w:p>
        </w:tc>
      </w:tr>
    </w:tbl>
    <w:p w:rsidR="000D3C12" w:rsidRPr="00E048D2" w:rsidRDefault="000D3C12" w:rsidP="000D3C12">
      <w:pPr>
        <w:pStyle w:val="Subtitle"/>
        <w:numPr>
          <w:ilvl w:val="1"/>
          <w:numId w:val="0"/>
        </w:numPr>
        <w:spacing w:before="360" w:after="360"/>
        <w:rPr>
          <w:sz w:val="18"/>
          <w:szCs w:val="18"/>
          <w:lang w:val="tr-TR"/>
        </w:rPr>
      </w:pPr>
      <w:r w:rsidRPr="00E048D2">
        <w:rPr>
          <w:sz w:val="18"/>
          <w:szCs w:val="18"/>
          <w:lang w:val="tr-TR"/>
        </w:rPr>
        <w:t>3. RİSK ÖLÇÜMÜ YÖNTEMLERİ</w:t>
      </w:r>
    </w:p>
    <w:p w:rsidR="000D3C12" w:rsidRPr="00E048D2" w:rsidRDefault="00284AE3" w:rsidP="000D3C12">
      <w:pPr>
        <w:jc w:val="both"/>
        <w:rPr>
          <w:bCs/>
          <w:sz w:val="18"/>
          <w:szCs w:val="18"/>
        </w:rPr>
      </w:pPr>
      <w:bookmarkStart w:id="0" w:name="OLE_LINK1"/>
      <w:r>
        <w:rPr>
          <w:bCs/>
          <w:sz w:val="18"/>
          <w:szCs w:val="18"/>
        </w:rPr>
        <w:t xml:space="preserve">Aktüeryal </w:t>
      </w:r>
      <w:r w:rsidR="000D3C12" w:rsidRPr="00E048D2">
        <w:rPr>
          <w:bCs/>
          <w:sz w:val="18"/>
          <w:szCs w:val="18"/>
        </w:rPr>
        <w:t xml:space="preserve">ürün fiyatlandırmasında genellikle hasar dağılımı ile ilgilenilir. Parametrik biçimde, parametrik olmayan biçimde, analitik olarak veya Monte Carlo </w:t>
      </w:r>
      <w:r w:rsidR="000D3C12">
        <w:rPr>
          <w:bCs/>
          <w:sz w:val="18"/>
          <w:szCs w:val="18"/>
        </w:rPr>
        <w:t>simülasyonu gibi yöntemlerle</w:t>
      </w:r>
      <w:r w:rsidR="000D3C12" w:rsidRPr="00E048D2">
        <w:rPr>
          <w:bCs/>
          <w:sz w:val="18"/>
          <w:szCs w:val="18"/>
        </w:rPr>
        <w:t xml:space="preserve"> belirlenen dağılım özellikleri, fiyatlandırma, rezerv ve risk yönetiminde kullanılmaktadır.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 xml:space="preserve">Matematiksel olarak risk ölçümü, bir hasar dağılımının gerçel sayılara fonksiyonel olarak eşleşmesidir. Hasar dağılımı </w:t>
      </w:r>
      <w:r w:rsidRPr="00E048D2">
        <w:rPr>
          <w:bCs/>
          <w:i/>
          <w:sz w:val="18"/>
          <w:szCs w:val="18"/>
        </w:rPr>
        <w:t xml:space="preserve">X </w:t>
      </w:r>
      <w:r w:rsidRPr="00E048D2">
        <w:rPr>
          <w:bCs/>
          <w:sz w:val="18"/>
          <w:szCs w:val="18"/>
        </w:rPr>
        <w:t xml:space="preserve">rastlantı değişkeni ile, risk ölçümü fonksiyonu da </w:t>
      </w:r>
      <w:r w:rsidRPr="00E048D2">
        <w:rPr>
          <w:bCs/>
          <w:i/>
          <w:sz w:val="18"/>
          <w:szCs w:val="18"/>
        </w:rPr>
        <w:t>H</w:t>
      </w:r>
      <w:r w:rsidRPr="00E048D2">
        <w:rPr>
          <w:bCs/>
          <w:sz w:val="18"/>
          <w:szCs w:val="18"/>
        </w:rPr>
        <w:t xml:space="preserve"> ile gösterildiğinde risk ölçümü aşağıdaki şekilde tanımlanabilir.</w:t>
      </w:r>
    </w:p>
    <w:p w:rsidR="000D3C12" w:rsidRPr="00E048D2" w:rsidRDefault="000D3C12" w:rsidP="000D3C12">
      <w:pPr>
        <w:jc w:val="both"/>
        <w:rPr>
          <w:bCs/>
          <w:sz w:val="18"/>
          <w:szCs w:val="18"/>
        </w:rPr>
      </w:pPr>
    </w:p>
    <w:p w:rsidR="000D3C12" w:rsidRPr="00E048D2" w:rsidRDefault="000D3C12" w:rsidP="000D3C12">
      <w:pPr>
        <w:jc w:val="both"/>
        <w:rPr>
          <w:bCs/>
          <w:i/>
          <w:sz w:val="18"/>
          <w:szCs w:val="18"/>
        </w:rPr>
      </w:pPr>
      <w:r w:rsidRPr="00E048D2">
        <w:rPr>
          <w:bCs/>
          <w:i/>
          <w:sz w:val="18"/>
          <w:szCs w:val="18"/>
        </w:rPr>
        <w:t>H: X → R</w:t>
      </w:r>
    </w:p>
    <w:p w:rsidR="000D3C12" w:rsidRPr="00E048D2" w:rsidRDefault="000D3C12" w:rsidP="000D3C12">
      <w:pPr>
        <w:jc w:val="both"/>
        <w:rPr>
          <w:bCs/>
          <w:i/>
          <w:sz w:val="18"/>
          <w:szCs w:val="18"/>
        </w:rPr>
      </w:pPr>
    </w:p>
    <w:p w:rsidR="000D3C12" w:rsidRDefault="000D3C12" w:rsidP="000D3C12">
      <w:pPr>
        <w:jc w:val="both"/>
        <w:rPr>
          <w:bCs/>
          <w:sz w:val="18"/>
          <w:szCs w:val="18"/>
        </w:rPr>
      </w:pPr>
      <w:r w:rsidRPr="00E048D2">
        <w:rPr>
          <w:bCs/>
          <w:sz w:val="18"/>
          <w:szCs w:val="18"/>
        </w:rPr>
        <w:t>Aktüeryal olarak risk ölçümlerinin ilk örnekleri prim hesaplama ilkeleri olmuştur. Bu ilkelerden en çok kullanılanları; beklenen değer prim ilkesi, standart sapma prim ilkesi, varyans prim ilkesidir. Bu ölçümlerin ortak özelliği, prim hesabının, hasarın beklenen değerinden daha yüksek olacak biçimde yapılmasıdır. Prim hesaplama ilkeleri dışında ekonomik sermayenin belirlenmesi için risk ölçümleri kullanılmaktadır. Sigortacılar, gelecekte oluşabilecek yükümlülüklerini karşılayabilmek adına ne kadar sermaye ayırmaları gerektiği sorusuna yanıt bulabilmek için çeşitli risk ölçüm yöntemleri kullanmaktadır.  Son yıllarda bankacılık sektörü farklı risk ölçüm yöntemleri geliştirmiştir. Bunlar arasında en sık kullanılan Riske Maruz Değer (</w:t>
      </w:r>
      <w:r w:rsidRPr="00E048D2">
        <w:rPr>
          <w:bCs/>
          <w:i/>
          <w:sz w:val="18"/>
          <w:szCs w:val="18"/>
        </w:rPr>
        <w:t>Value at Risk</w:t>
      </w:r>
      <w:r w:rsidRPr="00E048D2">
        <w:rPr>
          <w:bCs/>
          <w:sz w:val="18"/>
          <w:szCs w:val="18"/>
        </w:rPr>
        <w:t>)’dir [7].</w:t>
      </w:r>
    </w:p>
    <w:p w:rsidR="000D3C12" w:rsidRPr="00E048D2" w:rsidRDefault="00A56150" w:rsidP="000D3C12">
      <w:pPr>
        <w:pStyle w:val="TezMetni"/>
        <w:tabs>
          <w:tab w:val="left" w:pos="300"/>
        </w:tabs>
        <w:spacing w:before="360" w:line="240" w:lineRule="auto"/>
        <w:rPr>
          <w:rFonts w:ascii="Times New Roman" w:hAnsi="Times New Roman"/>
          <w:b/>
          <w:bCs/>
          <w:sz w:val="18"/>
          <w:szCs w:val="18"/>
        </w:rPr>
      </w:pPr>
      <w:r>
        <w:rPr>
          <w:rFonts w:ascii="Times New Roman" w:hAnsi="Times New Roman"/>
          <w:b/>
          <w:bCs/>
          <w:sz w:val="18"/>
          <w:szCs w:val="18"/>
        </w:rPr>
        <w:t>3</w:t>
      </w:r>
      <w:r w:rsidR="000D3C12" w:rsidRPr="00E048D2">
        <w:rPr>
          <w:rFonts w:ascii="Times New Roman" w:hAnsi="Times New Roman"/>
          <w:b/>
          <w:bCs/>
          <w:sz w:val="18"/>
          <w:szCs w:val="18"/>
        </w:rPr>
        <w:t>.1. Riske maruz değer (RMD)</w:t>
      </w:r>
    </w:p>
    <w:p w:rsidR="000D3C12" w:rsidRPr="00E048D2" w:rsidRDefault="000D3C12" w:rsidP="000D3C12">
      <w:pPr>
        <w:jc w:val="both"/>
        <w:rPr>
          <w:bCs/>
          <w:sz w:val="18"/>
          <w:szCs w:val="18"/>
        </w:rPr>
      </w:pPr>
      <w:r w:rsidRPr="00E048D2">
        <w:rPr>
          <w:bCs/>
          <w:sz w:val="18"/>
          <w:szCs w:val="18"/>
        </w:rPr>
        <w:t xml:space="preserve">Riske Maruz Değer, bir portföyün, belirlenen vadede ve </w:t>
      </w:r>
      <w:r w:rsidRPr="00E048D2">
        <w:rPr>
          <w:bCs/>
          <w:i/>
          <w:sz w:val="18"/>
          <w:szCs w:val="18"/>
        </w:rPr>
        <w:t>α ϵ (0,1)</w:t>
      </w:r>
      <w:r w:rsidRPr="00E048D2">
        <w:rPr>
          <w:bCs/>
          <w:sz w:val="18"/>
          <w:szCs w:val="18"/>
        </w:rPr>
        <w:t xml:space="preserve">  güven düzeyindeki maksimum potansiyel kaybını ölçer. Matematiksel olarak RMD, hasar dağılımının yüzdelik dilim risk ölçümü veya yüzdelik dilim prim ilkesi olarak bilinmektedir. Bir portföyde herhangi bir </w:t>
      </w:r>
      <w:r w:rsidRPr="00E048D2">
        <w:rPr>
          <w:bCs/>
          <w:i/>
          <w:sz w:val="18"/>
          <w:szCs w:val="18"/>
        </w:rPr>
        <w:t>L</w:t>
      </w:r>
      <w:r w:rsidRPr="00E048D2">
        <w:rPr>
          <w:bCs/>
          <w:sz w:val="18"/>
          <w:szCs w:val="18"/>
        </w:rPr>
        <w:t xml:space="preserve"> kaybının en küçük </w:t>
      </w:r>
      <w:r w:rsidRPr="00E048D2">
        <w:rPr>
          <w:bCs/>
          <w:i/>
          <w:sz w:val="18"/>
          <w:szCs w:val="18"/>
        </w:rPr>
        <w:t>l</w:t>
      </w:r>
      <w:r w:rsidRPr="00E048D2">
        <w:rPr>
          <w:bCs/>
          <w:sz w:val="18"/>
          <w:szCs w:val="18"/>
        </w:rPr>
        <w:t xml:space="preserve"> kaybından yüksek olma olasılığının (1- α)’dan büyük olmayacağı bilindiğinde, </w:t>
      </w:r>
      <w:r w:rsidRPr="00E048D2">
        <w:rPr>
          <w:bCs/>
          <w:i/>
          <w:sz w:val="18"/>
          <w:szCs w:val="18"/>
        </w:rPr>
        <w:t>α ϵ (0,1)</w:t>
      </w:r>
      <w:r w:rsidRPr="00E048D2">
        <w:rPr>
          <w:bCs/>
          <w:sz w:val="18"/>
          <w:szCs w:val="18"/>
        </w:rPr>
        <w:t xml:space="preserve">  güven düzeyinde Riske Maruz Değer,</w:t>
      </w:r>
    </w:p>
    <w:p w:rsidR="000D3C12" w:rsidRPr="00E048D2" w:rsidRDefault="000D3C12" w:rsidP="000D3C12">
      <w:pPr>
        <w:jc w:val="both"/>
        <w:rPr>
          <w:bCs/>
          <w:sz w:val="18"/>
          <w:szCs w:val="18"/>
        </w:rPr>
      </w:pPr>
    </w:p>
    <w:p w:rsidR="000D3C12" w:rsidRPr="00E048D2" w:rsidRDefault="000D3C12" w:rsidP="000D3C12">
      <w:pPr>
        <w:jc w:val="both"/>
        <w:rPr>
          <w:sz w:val="18"/>
          <w:szCs w:val="18"/>
        </w:rPr>
      </w:pPr>
      <w:r w:rsidRPr="00E048D2">
        <w:rPr>
          <w:position w:val="-14"/>
          <w:sz w:val="18"/>
          <w:szCs w:val="18"/>
        </w:rPr>
        <w:object w:dxaOrig="4380" w:dyaOrig="360">
          <v:shape id="_x0000_i1027" type="#_x0000_t75" style="width:219pt;height:18pt" o:ole="">
            <v:imagedata r:id="rId12" o:title=""/>
          </v:shape>
          <o:OLEObject Type="Embed" ProgID="Equation.DSMT4" ShapeID="_x0000_i1027" DrawAspect="Content" ObjectID="_1474720004" r:id="rId13"/>
        </w:object>
      </w:r>
      <w:r w:rsidRPr="00E048D2">
        <w:rPr>
          <w:sz w:val="18"/>
          <w:szCs w:val="18"/>
        </w:rPr>
        <w:t xml:space="preserve">                                                   </w:t>
      </w:r>
      <w:r>
        <w:rPr>
          <w:sz w:val="18"/>
          <w:szCs w:val="18"/>
        </w:rPr>
        <w:t xml:space="preserve"> </w:t>
      </w:r>
      <w:r w:rsidRPr="00E048D2">
        <w:rPr>
          <w:sz w:val="18"/>
          <w:szCs w:val="18"/>
        </w:rPr>
        <w:t>(3)</w:t>
      </w:r>
    </w:p>
    <w:p w:rsidR="000D3C12" w:rsidRPr="00E048D2" w:rsidRDefault="000D3C12" w:rsidP="000D3C12">
      <w:pPr>
        <w:jc w:val="both"/>
        <w:rPr>
          <w:bCs/>
          <w:sz w:val="18"/>
          <w:szCs w:val="18"/>
        </w:rPr>
      </w:pPr>
      <w:r w:rsidRPr="00E048D2">
        <w:rPr>
          <w:bCs/>
          <w:sz w:val="18"/>
          <w:szCs w:val="18"/>
        </w:rPr>
        <w:lastRenderedPageBreak/>
        <w:t xml:space="preserve">biçiminde tanımlanır [8].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Riske Maruz Değer’in literatürde sıklıkla kullanılma nedenlerinden biri kısıtlama olmaksızın herhangi bir portföye uygulanabilmesi, diğeri ise kolay hesaplanabilir olmasıdır. Bu avantajların yanında RMD’nin, dağılımın kuyruk kısmında oluşabilecek hasarlar hakkında bilgi vermemesi önemli bir dezavantajdır. RMD’nin zayıf yönleri analizcileri alternatif risk ölçümlerine yön</w:t>
      </w:r>
      <w:r>
        <w:rPr>
          <w:bCs/>
          <w:sz w:val="18"/>
          <w:szCs w:val="18"/>
        </w:rPr>
        <w:t>eltmiştir. Artzner ve ark.</w:t>
      </w:r>
      <w:r w:rsidRPr="00E048D2">
        <w:rPr>
          <w:bCs/>
          <w:sz w:val="18"/>
          <w:szCs w:val="18"/>
        </w:rPr>
        <w:t>, iyi bir risk ölçümünün sağlaması gereken özellikleri özetlemiş ve bu özell</w:t>
      </w:r>
      <w:r>
        <w:rPr>
          <w:bCs/>
          <w:sz w:val="18"/>
          <w:szCs w:val="18"/>
        </w:rPr>
        <w:t>ikleri sağlayan risk ölçümlerini</w:t>
      </w:r>
      <w:r w:rsidRPr="00E048D2">
        <w:rPr>
          <w:bCs/>
          <w:sz w:val="18"/>
          <w:szCs w:val="18"/>
        </w:rPr>
        <w:t xml:space="preserve"> “tuta</w:t>
      </w:r>
      <w:r>
        <w:rPr>
          <w:bCs/>
          <w:sz w:val="18"/>
          <w:szCs w:val="18"/>
        </w:rPr>
        <w:t>rlı risk ölçümleri” olarak adlandırmıştır [9].</w:t>
      </w:r>
      <w:r w:rsidRPr="00E048D2">
        <w:rPr>
          <w:bCs/>
          <w:sz w:val="18"/>
          <w:szCs w:val="18"/>
        </w:rPr>
        <w:t xml:space="preserve"> Bu özellikler; alt toplanabilirlik, pozitif homojenlik, monotonluk ve sapmasızlıktır. RMD, alt toplanabilirlik özelliğini sağlamaması nedeniyle tutarlı bir risk ölçümü değildir. </w:t>
      </w:r>
    </w:p>
    <w:p w:rsidR="000D3C12" w:rsidRPr="00E048D2" w:rsidRDefault="00A56150" w:rsidP="000D3C12">
      <w:pPr>
        <w:pStyle w:val="TezMetni"/>
        <w:tabs>
          <w:tab w:val="left" w:pos="300"/>
        </w:tabs>
        <w:spacing w:before="360" w:line="240" w:lineRule="auto"/>
        <w:rPr>
          <w:rFonts w:ascii="Times New Roman" w:hAnsi="Times New Roman"/>
          <w:b/>
          <w:bCs/>
          <w:sz w:val="18"/>
          <w:szCs w:val="18"/>
        </w:rPr>
      </w:pPr>
      <w:r>
        <w:rPr>
          <w:rFonts w:ascii="Times New Roman" w:hAnsi="Times New Roman"/>
          <w:b/>
          <w:bCs/>
          <w:sz w:val="18"/>
          <w:szCs w:val="18"/>
        </w:rPr>
        <w:t>3</w:t>
      </w:r>
      <w:r w:rsidR="000D3C12" w:rsidRPr="00E048D2">
        <w:rPr>
          <w:rFonts w:ascii="Times New Roman" w:hAnsi="Times New Roman"/>
          <w:b/>
          <w:bCs/>
          <w:sz w:val="18"/>
          <w:szCs w:val="18"/>
        </w:rPr>
        <w:t>.2. Beklenen Kayıp (BK)</w:t>
      </w:r>
    </w:p>
    <w:p w:rsidR="000D3C12" w:rsidRPr="00E048D2" w:rsidRDefault="000D3C12" w:rsidP="000D3C12">
      <w:pPr>
        <w:autoSpaceDE w:val="0"/>
        <w:autoSpaceDN w:val="0"/>
        <w:adjustRightInd w:val="0"/>
        <w:jc w:val="both"/>
        <w:rPr>
          <w:bCs/>
          <w:sz w:val="18"/>
          <w:szCs w:val="18"/>
        </w:rPr>
      </w:pPr>
      <w:r w:rsidRPr="00E048D2">
        <w:rPr>
          <w:bCs/>
          <w:sz w:val="18"/>
          <w:szCs w:val="18"/>
        </w:rPr>
        <w:t xml:space="preserve">Tutarlı bir risk ölçümü olan beklenen kayıp son yıllarda sıklıkla kullanılmaktadır. </w:t>
      </w:r>
      <w:r w:rsidRPr="00E048D2">
        <w:rPr>
          <w:bCs/>
          <w:i/>
          <w:sz w:val="18"/>
          <w:szCs w:val="18"/>
        </w:rPr>
        <w:t>α</w:t>
      </w:r>
      <w:r w:rsidRPr="00E048D2">
        <w:rPr>
          <w:bCs/>
          <w:sz w:val="18"/>
          <w:szCs w:val="18"/>
        </w:rPr>
        <w:t xml:space="preserve"> güven düzeyinde beklenen kayıp, </w:t>
      </w:r>
      <w:r w:rsidRPr="00E048D2">
        <w:rPr>
          <w:bCs/>
          <w:i/>
          <w:sz w:val="18"/>
          <w:szCs w:val="18"/>
        </w:rPr>
        <w:t>α</w:t>
      </w:r>
      <w:r w:rsidRPr="00E048D2">
        <w:rPr>
          <w:bCs/>
          <w:sz w:val="18"/>
          <w:szCs w:val="18"/>
        </w:rPr>
        <w:t xml:space="preserve"> ve daha yüksek seviyelerdeki RMD’lerin ortalaması olarak tanımlanabilmektedir. Beklenen kayıp, hasarın, hasar dağılımının ilgilenilen kuyruk kısmına düştüğü bilindiğindeki beklenen hasardır. </w:t>
      </w:r>
      <w:r w:rsidRPr="00E048D2">
        <w:rPr>
          <w:bCs/>
          <w:i/>
          <w:sz w:val="18"/>
          <w:szCs w:val="18"/>
        </w:rPr>
        <w:t>α</w:t>
      </w:r>
      <w:r w:rsidRPr="00E048D2">
        <w:rPr>
          <w:bCs/>
          <w:sz w:val="18"/>
          <w:szCs w:val="18"/>
        </w:rPr>
        <w:t xml:space="preserve"> güven düzeyinde RMD=</w:t>
      </w:r>
      <w:r w:rsidRPr="00E048D2">
        <w:rPr>
          <w:bCs/>
          <w:i/>
          <w:sz w:val="18"/>
          <w:szCs w:val="18"/>
        </w:rPr>
        <w:t>Q</w:t>
      </w:r>
      <w:r w:rsidRPr="00E048D2">
        <w:rPr>
          <w:bCs/>
          <w:i/>
          <w:sz w:val="18"/>
          <w:szCs w:val="18"/>
          <w:vertAlign w:val="subscript"/>
        </w:rPr>
        <w:t>α</w:t>
      </w:r>
      <w:r w:rsidRPr="00E048D2">
        <w:rPr>
          <w:bCs/>
          <w:sz w:val="18"/>
          <w:szCs w:val="18"/>
          <w:vertAlign w:val="subscript"/>
        </w:rPr>
        <w:t xml:space="preserve"> </w:t>
      </w:r>
      <w:r w:rsidRPr="00E048D2">
        <w:rPr>
          <w:bCs/>
          <w:sz w:val="18"/>
          <w:szCs w:val="18"/>
        </w:rPr>
        <w:t>biliniyorken beklenen kayıp aşağıdaki gibi hesaplanır [7].</w:t>
      </w:r>
    </w:p>
    <w:p w:rsidR="000D3C12" w:rsidRPr="00E048D2" w:rsidRDefault="000D3C12" w:rsidP="000D3C12">
      <w:pPr>
        <w:autoSpaceDE w:val="0"/>
        <w:autoSpaceDN w:val="0"/>
        <w:adjustRightInd w:val="0"/>
        <w:jc w:val="both"/>
        <w:rPr>
          <w:bCs/>
          <w:sz w:val="18"/>
          <w:szCs w:val="18"/>
        </w:rPr>
      </w:pPr>
    </w:p>
    <w:p w:rsidR="000D3C12" w:rsidRPr="00E048D2" w:rsidRDefault="000D3C12" w:rsidP="000D3C12">
      <w:pPr>
        <w:autoSpaceDE w:val="0"/>
        <w:autoSpaceDN w:val="0"/>
        <w:adjustRightInd w:val="0"/>
        <w:jc w:val="both"/>
        <w:rPr>
          <w:bCs/>
          <w:sz w:val="18"/>
          <w:szCs w:val="18"/>
        </w:rPr>
      </w:pPr>
      <w:r w:rsidRPr="00E048D2">
        <w:rPr>
          <w:bCs/>
          <w:sz w:val="18"/>
          <w:szCs w:val="18"/>
        </w:rPr>
        <w:t>ES</w:t>
      </w:r>
      <w:r w:rsidRPr="00E048D2">
        <w:rPr>
          <w:bCs/>
          <w:sz w:val="18"/>
          <w:szCs w:val="18"/>
          <w:vertAlign w:val="subscript"/>
        </w:rPr>
        <w:t xml:space="preserve">α </w:t>
      </w:r>
      <w:r w:rsidRPr="00E048D2">
        <w:rPr>
          <w:bCs/>
          <w:sz w:val="18"/>
          <w:szCs w:val="18"/>
        </w:rPr>
        <w:t xml:space="preserve">= </w:t>
      </w:r>
      <w:r w:rsidRPr="00E048D2">
        <w:rPr>
          <w:position w:val="-14"/>
          <w:sz w:val="18"/>
          <w:szCs w:val="18"/>
        </w:rPr>
        <w:object w:dxaOrig="1060" w:dyaOrig="360">
          <v:shape id="_x0000_i1028" type="#_x0000_t75" style="width:53.25pt;height:18pt" o:ole="">
            <v:imagedata r:id="rId14" o:title=""/>
          </v:shape>
          <o:OLEObject Type="Embed" ProgID="Equation.DSMT4" ShapeID="_x0000_i1028" DrawAspect="Content" ObjectID="_1474720005" r:id="rId15"/>
        </w:object>
      </w:r>
      <w:r w:rsidRPr="00E048D2">
        <w:rPr>
          <w:sz w:val="18"/>
          <w:szCs w:val="18"/>
        </w:rPr>
        <w:t xml:space="preserve">                                                                                       </w:t>
      </w:r>
      <w:r>
        <w:rPr>
          <w:sz w:val="18"/>
          <w:szCs w:val="18"/>
        </w:rPr>
        <w:t xml:space="preserve">                             </w:t>
      </w:r>
      <w:r w:rsidRPr="00E048D2">
        <w:rPr>
          <w:sz w:val="18"/>
          <w:szCs w:val="18"/>
        </w:rPr>
        <w:t>(4)</w:t>
      </w:r>
    </w:p>
    <w:p w:rsidR="000D3C12" w:rsidRPr="00E048D2" w:rsidRDefault="000D3C12" w:rsidP="000D3C12">
      <w:pPr>
        <w:autoSpaceDE w:val="0"/>
        <w:autoSpaceDN w:val="0"/>
        <w:adjustRightInd w:val="0"/>
        <w:jc w:val="both"/>
        <w:rPr>
          <w:bCs/>
          <w:sz w:val="18"/>
          <w:szCs w:val="18"/>
        </w:rPr>
      </w:pPr>
    </w:p>
    <w:p w:rsidR="000D3C12" w:rsidRDefault="000D3C12" w:rsidP="000D3C12">
      <w:pPr>
        <w:autoSpaceDE w:val="0"/>
        <w:autoSpaceDN w:val="0"/>
        <w:adjustRightInd w:val="0"/>
        <w:jc w:val="both"/>
        <w:rPr>
          <w:bCs/>
          <w:sz w:val="18"/>
          <w:szCs w:val="18"/>
        </w:rPr>
      </w:pPr>
      <w:r w:rsidRPr="00E048D2">
        <w:rPr>
          <w:bCs/>
          <w:sz w:val="18"/>
          <w:szCs w:val="18"/>
        </w:rPr>
        <w:t>Beklenen kayıp, aktüeryal alanda sıklıkla kullanılan önemli bir risk ölçümü yöntemidir. RMD yöntemine göre hasar dağılımına daha duyarlıdır ve hasar dağılımının kuyruk yapısını hesaplamalara dahil eder. Ortalama olarak hesaplandığı için örnekleme hatası açısından RMD’ye göre daha anlamlı sonuçlar verir.</w:t>
      </w:r>
      <w:bookmarkEnd w:id="0"/>
      <w:r w:rsidRPr="00E048D2">
        <w:rPr>
          <w:bCs/>
          <w:sz w:val="18"/>
          <w:szCs w:val="18"/>
        </w:rPr>
        <w:t xml:space="preserve"> </w:t>
      </w:r>
    </w:p>
    <w:p w:rsidR="000D3C12" w:rsidRPr="00E048D2" w:rsidRDefault="000D3C12" w:rsidP="000D3C12">
      <w:pPr>
        <w:pStyle w:val="Subtitle"/>
        <w:numPr>
          <w:ilvl w:val="1"/>
          <w:numId w:val="0"/>
        </w:numPr>
        <w:tabs>
          <w:tab w:val="left" w:pos="300"/>
        </w:tabs>
        <w:spacing w:before="360" w:after="360"/>
        <w:rPr>
          <w:sz w:val="18"/>
          <w:szCs w:val="18"/>
          <w:lang w:val="tr-TR"/>
        </w:rPr>
      </w:pPr>
      <w:r w:rsidRPr="00E048D2">
        <w:rPr>
          <w:sz w:val="18"/>
          <w:szCs w:val="18"/>
          <w:lang w:val="tr-TR"/>
        </w:rPr>
        <w:t>4. UYGULAMA</w:t>
      </w:r>
    </w:p>
    <w:p w:rsidR="000D3C12" w:rsidRPr="00E048D2" w:rsidRDefault="000D3C12" w:rsidP="000D3C12">
      <w:pPr>
        <w:pStyle w:val="BodyText"/>
        <w:tabs>
          <w:tab w:val="left" w:pos="300"/>
        </w:tabs>
        <w:spacing w:after="240" w:line="240" w:lineRule="auto"/>
        <w:rPr>
          <w:rFonts w:ascii="Times New Roman" w:hAnsi="Times New Roman" w:cs="Times New Roman"/>
          <w:sz w:val="18"/>
          <w:szCs w:val="18"/>
        </w:rPr>
      </w:pPr>
      <w:r w:rsidRPr="00E048D2">
        <w:rPr>
          <w:rFonts w:ascii="Times New Roman" w:hAnsi="Times New Roman" w:cs="Times New Roman"/>
          <w:sz w:val="18"/>
          <w:szCs w:val="18"/>
        </w:rPr>
        <w:t>Karayolları motorlu araçlar zorunlu mali sorumluluk sigortası (trafik sigortası), trafiğe çıkan her aracın yaptırmak zorunda olduğu, poliçede tanımlı olan motorlu aracın işletilmesi sırasında bir kimsenin zarara uğraması durumunda bu zararın, 2918 sayılı Karayolları Trafik Kanunu’na göre işletene düşen hukuki sorumluluğunun sigorta limitine göre karşılandığı bir sigorta türüdür [</w:t>
      </w:r>
      <w:r>
        <w:rPr>
          <w:rFonts w:ascii="Times New Roman" w:hAnsi="Times New Roman" w:cs="Times New Roman"/>
          <w:sz w:val="18"/>
          <w:szCs w:val="18"/>
        </w:rPr>
        <w:t>10</w:t>
      </w:r>
      <w:r w:rsidRPr="00E048D2">
        <w:rPr>
          <w:rFonts w:ascii="Times New Roman" w:hAnsi="Times New Roman" w:cs="Times New Roman"/>
          <w:sz w:val="18"/>
          <w:szCs w:val="18"/>
        </w:rPr>
        <w:t xml:space="preserve">]. </w:t>
      </w:r>
      <w:r w:rsidRPr="00E048D2">
        <w:rPr>
          <w:rFonts w:ascii="Times New Roman" w:hAnsi="Times New Roman" w:cs="Times New Roman"/>
          <w:sz w:val="18"/>
          <w:szCs w:val="18"/>
        </w:rPr>
        <w:tab/>
      </w:r>
    </w:p>
    <w:p w:rsidR="000D3C12" w:rsidRPr="00E048D2" w:rsidRDefault="000D3C12" w:rsidP="000D3C12">
      <w:pPr>
        <w:jc w:val="both"/>
        <w:rPr>
          <w:bCs/>
          <w:sz w:val="18"/>
          <w:szCs w:val="18"/>
        </w:rPr>
      </w:pPr>
      <w:r w:rsidRPr="00E048D2">
        <w:rPr>
          <w:bCs/>
          <w:sz w:val="18"/>
          <w:szCs w:val="18"/>
        </w:rPr>
        <w:t xml:space="preserve">Bu çalışmada,  Türkiye’deki özel bir sigorta şirketine ait 2009-2013 Haziran yıllarını kapsayan poliçe bazlı maddi hasar tutarlarına ilişkin veriler kullanılmıştır. Veride bulunan değişkenler: poliçe numarası, poliçe başlangıç tarihi, poliçe bitiş tarihi, tecdit yılı, yıllara göre ödenen hasar tutarı, muallak hasar tutarı, sigortalı doğum yılı, sigortalının cinsiyeti, araç kullanım tarzı, özel-tüzel ayrımı, silindir hacmi ve araç sahibinin ikamet ettiği il olarak sıralanabilir. Özel kulanım ayrımında, otomobil araç türleri için hasar verisi incelenmiştir. Yıllara göre verilen ödenen hasar ve muallak hasar tutarı toplamlarının, TUİK’te yayınlanmış olan tüketici fiyat endeksleri kullanılarak, 2013 yılı Haziran ayı sonundaki değerleri elde edilmiştir.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Hasar tutarlarının histogramı aşağıda verimektedir,</w:t>
      </w:r>
    </w:p>
    <w:p w:rsidR="000D3C12" w:rsidRPr="00E048D2" w:rsidRDefault="000D3C12" w:rsidP="000D3C12">
      <w:pPr>
        <w:jc w:val="center"/>
        <w:rPr>
          <w:bCs/>
          <w:sz w:val="18"/>
          <w:szCs w:val="18"/>
        </w:rPr>
      </w:pPr>
    </w:p>
    <w:p w:rsidR="000D3C12" w:rsidRPr="00E048D2" w:rsidRDefault="000D3C12" w:rsidP="000D3C12">
      <w:pPr>
        <w:jc w:val="center"/>
        <w:rPr>
          <w:bCs/>
          <w:sz w:val="18"/>
          <w:szCs w:val="18"/>
        </w:rPr>
      </w:pPr>
    </w:p>
    <w:p w:rsidR="000D3C12" w:rsidRPr="00E048D2" w:rsidRDefault="000D3C12" w:rsidP="000D3C12">
      <w:pPr>
        <w:jc w:val="both"/>
        <w:rPr>
          <w:bCs/>
          <w:sz w:val="18"/>
          <w:szCs w:val="18"/>
        </w:rPr>
      </w:pPr>
      <w:bookmarkStart w:id="1" w:name="_GoBack"/>
      <w:r w:rsidRPr="00E048D2">
        <w:rPr>
          <w:noProof/>
          <w:sz w:val="18"/>
          <w:szCs w:val="18"/>
        </w:rPr>
        <w:lastRenderedPageBreak/>
        <w:drawing>
          <wp:inline distT="0" distB="0" distL="0" distR="0" wp14:anchorId="09D7D724" wp14:editId="386534E7">
            <wp:extent cx="4572000" cy="1917511"/>
            <wp:effectExtent l="0" t="0" r="19050" b="2603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
    </w:p>
    <w:p w:rsidR="000D3C12" w:rsidRPr="00E048D2" w:rsidRDefault="000D3C12" w:rsidP="000D3C12">
      <w:pPr>
        <w:jc w:val="both"/>
        <w:rPr>
          <w:bCs/>
          <w:sz w:val="18"/>
          <w:szCs w:val="18"/>
        </w:rPr>
      </w:pPr>
      <w:r w:rsidRPr="00E048D2">
        <w:rPr>
          <w:bCs/>
          <w:sz w:val="18"/>
          <w:szCs w:val="18"/>
        </w:rPr>
        <w:t>Şekil 1. Trafik sigortası hasar tutarları (2013 Haziran)</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Dosya masrafları, eksper masrafı gibi gider kaleminden kaynaklanan hasar girişleri nedeniyle veriye 70 br. muafiyet uygulanmıştır. Şekil 1’den de görüldüğü gibi hasar tutarları sağa çarpık bir dağılıma sahiptir. Sağa çarpık dağılım gösteren değişkenlerin modellenmesi genellikle iki şekilde yapılmaktadır;</w:t>
      </w:r>
    </w:p>
    <w:p w:rsidR="000D3C12" w:rsidRPr="00E048D2" w:rsidRDefault="000D3C12" w:rsidP="000D3C12">
      <w:pPr>
        <w:jc w:val="both"/>
        <w:rPr>
          <w:bCs/>
          <w:sz w:val="18"/>
          <w:szCs w:val="18"/>
        </w:rPr>
      </w:pPr>
    </w:p>
    <w:p w:rsidR="000D3C12" w:rsidRPr="00E048D2" w:rsidRDefault="000D3C12" w:rsidP="000D3C12">
      <w:pPr>
        <w:numPr>
          <w:ilvl w:val="0"/>
          <w:numId w:val="3"/>
        </w:numPr>
        <w:spacing w:after="200" w:line="276" w:lineRule="auto"/>
        <w:ind w:left="0" w:firstLine="0"/>
        <w:jc w:val="both"/>
        <w:rPr>
          <w:bCs/>
          <w:sz w:val="18"/>
          <w:szCs w:val="18"/>
        </w:rPr>
      </w:pPr>
      <w:r w:rsidRPr="00E048D2">
        <w:rPr>
          <w:bCs/>
          <w:sz w:val="18"/>
          <w:szCs w:val="18"/>
        </w:rPr>
        <w:t xml:space="preserve">Verinin normalleştirilmesi için veriye bir dönüşüm yapılır ve dönüşüm yapılan bağımlı değişkene normal doğrusal model uydurulur. </w:t>
      </w:r>
    </w:p>
    <w:p w:rsidR="000D3C12" w:rsidRPr="00E048D2" w:rsidRDefault="000D3C12" w:rsidP="000D3C12">
      <w:pPr>
        <w:numPr>
          <w:ilvl w:val="0"/>
          <w:numId w:val="3"/>
        </w:numPr>
        <w:spacing w:after="200" w:line="276" w:lineRule="auto"/>
        <w:ind w:left="0" w:firstLine="0"/>
        <w:jc w:val="both"/>
        <w:rPr>
          <w:bCs/>
          <w:sz w:val="18"/>
          <w:szCs w:val="18"/>
        </w:rPr>
      </w:pPr>
      <w:r w:rsidRPr="00E048D2">
        <w:rPr>
          <w:bCs/>
          <w:sz w:val="18"/>
          <w:szCs w:val="18"/>
        </w:rPr>
        <w:t>Pozitif değerlerde kümelenmiş olan bağımlı değişkene genelleştirilmiş doğrusal model uygulanır. Bunlara örnek olarak gamma ve ters Gaus</w:t>
      </w:r>
      <w:r w:rsidR="000374B1">
        <w:rPr>
          <w:bCs/>
          <w:sz w:val="18"/>
          <w:szCs w:val="18"/>
        </w:rPr>
        <w:t>s</w:t>
      </w:r>
      <w:r w:rsidRPr="00E048D2">
        <w:rPr>
          <w:bCs/>
          <w:sz w:val="18"/>
          <w:szCs w:val="18"/>
        </w:rPr>
        <w:t xml:space="preserve"> GDM’leri verilebilir [6]. </w:t>
      </w:r>
    </w:p>
    <w:p w:rsidR="000D3C12" w:rsidRPr="00E048D2" w:rsidRDefault="000D3C12" w:rsidP="000D3C12">
      <w:pPr>
        <w:spacing w:after="200" w:line="276" w:lineRule="auto"/>
        <w:jc w:val="both"/>
        <w:rPr>
          <w:bCs/>
          <w:sz w:val="18"/>
          <w:szCs w:val="18"/>
        </w:rPr>
      </w:pPr>
      <w:r w:rsidRPr="00E048D2">
        <w:rPr>
          <w:bCs/>
          <w:sz w:val="18"/>
          <w:szCs w:val="18"/>
        </w:rPr>
        <w:t>Literatürde, sağa çarpık dağılım gösteren hasar şiddeti veya hasar tutarı değişkenlerinin modellenmesinde genellikle gamma GDM (</w:t>
      </w:r>
      <w:r>
        <w:rPr>
          <w:bCs/>
          <w:sz w:val="18"/>
          <w:szCs w:val="18"/>
        </w:rPr>
        <w:t>[6], [11</w:t>
      </w:r>
      <w:r w:rsidRPr="00E048D2">
        <w:rPr>
          <w:bCs/>
          <w:sz w:val="18"/>
          <w:szCs w:val="18"/>
        </w:rPr>
        <w:t>]</w:t>
      </w:r>
      <w:r w:rsidRPr="00E048D2">
        <w:rPr>
          <w:sz w:val="18"/>
          <w:szCs w:val="18"/>
        </w:rPr>
        <w:t>)</w:t>
      </w:r>
      <w:r w:rsidRPr="00E048D2">
        <w:rPr>
          <w:bCs/>
          <w:sz w:val="18"/>
          <w:szCs w:val="18"/>
        </w:rPr>
        <w:t xml:space="preserve"> ve logaritmik dönüşümlü doğrusal modelin</w:t>
      </w:r>
      <w:r>
        <w:rPr>
          <w:bCs/>
          <w:sz w:val="18"/>
          <w:szCs w:val="18"/>
        </w:rPr>
        <w:t xml:space="preserve"> ([12],[13</w:t>
      </w:r>
      <w:r w:rsidRPr="00E048D2">
        <w:rPr>
          <w:bCs/>
          <w:sz w:val="18"/>
          <w:szCs w:val="18"/>
        </w:rPr>
        <w:t>]) kullanıldığı görülmektedir. Bu kısımda, hasar tutarlarının lognormal ve gamma dağıldığı varsayılarak dağılım parametreleri elde edilmiştir. Bu dağılımlara ilişkin P-P grafikleri aşağıdaki şekilde verilmektedir,</w:t>
      </w:r>
    </w:p>
    <w:p w:rsidR="000D3C12" w:rsidRPr="00E048D2" w:rsidRDefault="000D3C12" w:rsidP="000D3C12">
      <w:pPr>
        <w:spacing w:after="200" w:line="276" w:lineRule="auto"/>
        <w:jc w:val="both"/>
        <w:rPr>
          <w:noProof/>
          <w:sz w:val="18"/>
          <w:szCs w:val="18"/>
        </w:rPr>
      </w:pPr>
      <w:r w:rsidRPr="00E048D2">
        <w:rPr>
          <w:noProof/>
          <w:sz w:val="18"/>
          <w:szCs w:val="18"/>
        </w:rPr>
        <w:drawing>
          <wp:inline distT="0" distB="0" distL="0" distR="0" wp14:anchorId="53333192" wp14:editId="6E0187B0">
            <wp:extent cx="4691269" cy="169362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3909" cy="1694581"/>
                    </a:xfrm>
                    <a:prstGeom prst="rect">
                      <a:avLst/>
                    </a:prstGeom>
                    <a:noFill/>
                    <a:ln>
                      <a:noFill/>
                    </a:ln>
                  </pic:spPr>
                </pic:pic>
              </a:graphicData>
            </a:graphic>
          </wp:inline>
        </w:drawing>
      </w:r>
    </w:p>
    <w:p w:rsidR="000D3C12" w:rsidRPr="00E048D2" w:rsidRDefault="000D3C12" w:rsidP="000D3C12">
      <w:pPr>
        <w:spacing w:after="200" w:line="276" w:lineRule="auto"/>
        <w:jc w:val="both"/>
        <w:rPr>
          <w:bCs/>
          <w:sz w:val="18"/>
          <w:szCs w:val="18"/>
        </w:rPr>
      </w:pPr>
      <w:r w:rsidRPr="00E048D2">
        <w:rPr>
          <w:bCs/>
          <w:sz w:val="18"/>
          <w:szCs w:val="18"/>
        </w:rPr>
        <w:t>Şekil 2. Lognormal ve gamma dağılımlarına ilişkin P-P grafikleri</w:t>
      </w:r>
    </w:p>
    <w:p w:rsidR="000D3C12" w:rsidRPr="00E048D2" w:rsidRDefault="000D3C12" w:rsidP="000D3C12">
      <w:pPr>
        <w:jc w:val="both"/>
        <w:rPr>
          <w:bCs/>
          <w:sz w:val="18"/>
          <w:szCs w:val="18"/>
        </w:rPr>
      </w:pPr>
      <w:r w:rsidRPr="00E048D2">
        <w:rPr>
          <w:bCs/>
          <w:sz w:val="18"/>
          <w:szCs w:val="18"/>
        </w:rPr>
        <w:lastRenderedPageBreak/>
        <w:t>Şekil 2’de verilen P-P grafiklerinden, verinin lognormal dağılıma daha uygun olduğu söylenebilir. Dolayısıyla, hasar tutarlarına logaritmik dönüşümlü doğrusal model bir diğer deyişle birim bağ fonksiyonlu normal GDM fit edilmiştir. Lognormal dağılımın olasılık yoğunluk fonksiyonu aşağıdaki gibi tanımlanır,</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position w:val="-36"/>
          <w:sz w:val="18"/>
          <w:szCs w:val="18"/>
        </w:rPr>
        <w:object w:dxaOrig="4160" w:dyaOrig="840">
          <v:shape id="_x0000_i1029" type="#_x0000_t75" style="width:207.75pt;height:42pt" o:ole="">
            <v:imagedata r:id="rId18" o:title=""/>
          </v:shape>
          <o:OLEObject Type="Embed" ProgID="Equation.DSMT4" ShapeID="_x0000_i1029" DrawAspect="Content" ObjectID="_1474720006" r:id="rId19"/>
        </w:object>
      </w:r>
      <w:r w:rsidRPr="00E048D2">
        <w:rPr>
          <w:sz w:val="18"/>
          <w:szCs w:val="18"/>
        </w:rPr>
        <w:t xml:space="preserve">                            </w:t>
      </w:r>
      <w:r>
        <w:rPr>
          <w:sz w:val="18"/>
          <w:szCs w:val="18"/>
        </w:rPr>
        <w:t xml:space="preserve">                             </w:t>
      </w:r>
      <w:r w:rsidRPr="00E048D2">
        <w:rPr>
          <w:sz w:val="18"/>
          <w:szCs w:val="18"/>
        </w:rPr>
        <w:t>(5)</w:t>
      </w:r>
    </w:p>
    <w:p w:rsidR="002E4897" w:rsidRDefault="002E4897" w:rsidP="000D3C12">
      <w:pPr>
        <w:jc w:val="both"/>
        <w:rPr>
          <w:bCs/>
          <w:sz w:val="18"/>
          <w:szCs w:val="18"/>
        </w:rPr>
      </w:pPr>
    </w:p>
    <w:p w:rsidR="000D3C12" w:rsidRPr="00E048D2" w:rsidRDefault="000D3C12" w:rsidP="000D3C12">
      <w:pPr>
        <w:jc w:val="both"/>
        <w:rPr>
          <w:bCs/>
          <w:sz w:val="18"/>
          <w:szCs w:val="18"/>
        </w:rPr>
      </w:pPr>
      <w:r w:rsidRPr="00E048D2">
        <w:rPr>
          <w:bCs/>
          <w:sz w:val="18"/>
          <w:szCs w:val="18"/>
        </w:rPr>
        <w:t>Kullanılan veride bulunan eşdeğişkenler, sigortalı yaşı, cinsiyeti, aracın kayıtlı olduğu il ve aracın silindir hacmidi</w:t>
      </w:r>
      <w:r w:rsidR="005045BD">
        <w:rPr>
          <w:bCs/>
          <w:sz w:val="18"/>
          <w:szCs w:val="18"/>
        </w:rPr>
        <w:t>r. Eşdeğişke</w:t>
      </w:r>
      <w:r w:rsidR="003218C1">
        <w:rPr>
          <w:bCs/>
          <w:sz w:val="18"/>
          <w:szCs w:val="18"/>
        </w:rPr>
        <w:t>nler</w:t>
      </w:r>
      <w:r w:rsidR="005045BD">
        <w:rPr>
          <w:bCs/>
          <w:sz w:val="18"/>
          <w:szCs w:val="18"/>
        </w:rPr>
        <w:t xml:space="preserve">, </w:t>
      </w:r>
      <w:r>
        <w:rPr>
          <w:bCs/>
          <w:sz w:val="18"/>
          <w:szCs w:val="18"/>
        </w:rPr>
        <w:t>Çizelge</w:t>
      </w:r>
      <w:r w:rsidR="005045BD">
        <w:rPr>
          <w:bCs/>
          <w:sz w:val="18"/>
          <w:szCs w:val="18"/>
        </w:rPr>
        <w:t xml:space="preserve"> 1’de tanımlanmıştır</w:t>
      </w:r>
      <w:r w:rsidRPr="00E048D2">
        <w:rPr>
          <w:bCs/>
          <w:sz w:val="18"/>
          <w:szCs w:val="18"/>
        </w:rPr>
        <w:t>,</w:t>
      </w:r>
    </w:p>
    <w:p w:rsidR="000D3C12" w:rsidRPr="00E048D2" w:rsidRDefault="000D3C12" w:rsidP="00A97AE9">
      <w:pPr>
        <w:rPr>
          <w:bCs/>
          <w:sz w:val="18"/>
          <w:szCs w:val="18"/>
        </w:rPr>
      </w:pPr>
    </w:p>
    <w:p w:rsidR="000D3C12" w:rsidRPr="00E048D2" w:rsidRDefault="000D3C12" w:rsidP="00A97AE9">
      <w:pPr>
        <w:rPr>
          <w:bCs/>
          <w:sz w:val="18"/>
          <w:szCs w:val="18"/>
        </w:rPr>
      </w:pPr>
      <w:r>
        <w:rPr>
          <w:bCs/>
          <w:sz w:val="18"/>
          <w:szCs w:val="18"/>
        </w:rPr>
        <w:t>Çizelge</w:t>
      </w:r>
      <w:r w:rsidRPr="00E048D2">
        <w:rPr>
          <w:bCs/>
          <w:sz w:val="18"/>
          <w:szCs w:val="18"/>
        </w:rPr>
        <w:t xml:space="preserve"> 1. Eşdeğişkenler</w:t>
      </w:r>
    </w:p>
    <w:tbl>
      <w:tblPr>
        <w:tblW w:w="7117" w:type="dxa"/>
        <w:tblInd w:w="55" w:type="dxa"/>
        <w:tblCellMar>
          <w:left w:w="70" w:type="dxa"/>
          <w:right w:w="70" w:type="dxa"/>
        </w:tblCellMar>
        <w:tblLook w:val="04A0" w:firstRow="1" w:lastRow="0" w:firstColumn="1" w:lastColumn="0" w:noHBand="0" w:noVBand="1"/>
      </w:tblPr>
      <w:tblGrid>
        <w:gridCol w:w="1691"/>
        <w:gridCol w:w="442"/>
        <w:gridCol w:w="354"/>
        <w:gridCol w:w="1866"/>
        <w:gridCol w:w="277"/>
        <w:gridCol w:w="354"/>
        <w:gridCol w:w="1691"/>
        <w:gridCol w:w="442"/>
      </w:tblGrid>
      <w:tr w:rsidR="000D3C12" w:rsidRPr="00E048D2" w:rsidTr="00C30AD1">
        <w:trPr>
          <w:trHeight w:val="269"/>
        </w:trPr>
        <w:tc>
          <w:tcPr>
            <w:tcW w:w="2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b/>
                <w:bCs/>
                <w:color w:val="000000"/>
                <w:sz w:val="18"/>
                <w:szCs w:val="18"/>
              </w:rPr>
            </w:pPr>
            <w:r w:rsidRPr="00E048D2">
              <w:rPr>
                <w:b/>
                <w:bCs/>
                <w:color w:val="000000"/>
                <w:sz w:val="18"/>
                <w:szCs w:val="18"/>
              </w:rPr>
              <w:t>Sigortalı Yaş</w:t>
            </w:r>
          </w:p>
        </w:tc>
        <w:tc>
          <w:tcPr>
            <w:tcW w:w="354" w:type="dxa"/>
            <w:tcBorders>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b/>
                <w:bCs/>
                <w:color w:val="000000"/>
                <w:sz w:val="18"/>
                <w:szCs w:val="18"/>
              </w:rPr>
            </w:pPr>
            <w:r w:rsidRPr="00E048D2">
              <w:rPr>
                <w:b/>
                <w:bCs/>
                <w:color w:val="000000"/>
                <w:sz w:val="18"/>
                <w:szCs w:val="18"/>
              </w:rPr>
              <w:t>Araç Silindir Hacmi</w:t>
            </w:r>
          </w:p>
        </w:tc>
        <w:tc>
          <w:tcPr>
            <w:tcW w:w="354" w:type="dxa"/>
            <w:tcBorders>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b/>
                <w:bCs/>
                <w:color w:val="000000"/>
                <w:sz w:val="18"/>
                <w:szCs w:val="18"/>
              </w:rPr>
            </w:pPr>
            <w:r w:rsidRPr="00E048D2">
              <w:rPr>
                <w:b/>
                <w:bCs/>
                <w:color w:val="000000"/>
                <w:sz w:val="18"/>
                <w:szCs w:val="18"/>
              </w:rPr>
              <w:t>Araç Yaşı</w:t>
            </w:r>
          </w:p>
        </w:tc>
      </w:tr>
      <w:tr w:rsidR="000D3C12" w:rsidRPr="00E048D2" w:rsidTr="00C30AD1">
        <w:trPr>
          <w:trHeight w:val="255"/>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18-35</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&lt;1300</w:t>
            </w:r>
          </w:p>
        </w:tc>
        <w:tc>
          <w:tcPr>
            <w:tcW w:w="277" w:type="dxa"/>
            <w:tcBorders>
              <w:top w:val="single" w:sz="4" w:space="0" w:color="auto"/>
              <w:left w:val="nil"/>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0-3</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w:t>
            </w:r>
          </w:p>
        </w:tc>
      </w:tr>
      <w:tr w:rsidR="000D3C12" w:rsidRPr="00E048D2" w:rsidTr="00C30AD1">
        <w:trPr>
          <w:trHeight w:val="255"/>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36-45</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2</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1300-1600</w:t>
            </w:r>
          </w:p>
        </w:tc>
        <w:tc>
          <w:tcPr>
            <w:tcW w:w="277" w:type="dxa"/>
            <w:tcBorders>
              <w:top w:val="single" w:sz="4" w:space="0" w:color="auto"/>
              <w:left w:val="nil"/>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2</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4-9</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2</w:t>
            </w:r>
          </w:p>
        </w:tc>
      </w:tr>
      <w:tr w:rsidR="000D3C12" w:rsidRPr="00E048D2" w:rsidTr="00C30AD1">
        <w:trPr>
          <w:trHeight w:val="255"/>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46-59</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3</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&gt;=1600</w:t>
            </w:r>
          </w:p>
        </w:tc>
        <w:tc>
          <w:tcPr>
            <w:tcW w:w="277" w:type="dxa"/>
            <w:tcBorders>
              <w:top w:val="single" w:sz="4" w:space="0" w:color="auto"/>
              <w:left w:val="nil"/>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3</w:t>
            </w:r>
          </w:p>
        </w:tc>
        <w:tc>
          <w:tcPr>
            <w:tcW w:w="354" w:type="dxa"/>
            <w:tcBorders>
              <w:top w:val="nil"/>
              <w:left w:val="single" w:sz="4" w:space="0" w:color="auto"/>
              <w:bottom w:val="nil"/>
              <w:right w:val="single" w:sz="4" w:space="0" w:color="auto"/>
            </w:tcBorders>
            <w:shd w:val="clear" w:color="auto" w:fill="auto"/>
            <w:noWrap/>
            <w:vAlign w:val="bottom"/>
          </w:tcPr>
          <w:p w:rsidR="000D3C12" w:rsidRPr="00E048D2" w:rsidRDefault="000D3C12" w:rsidP="00C30AD1">
            <w:pPr>
              <w:rPr>
                <w:color w:val="000000"/>
                <w:sz w:val="18"/>
                <w:szCs w:val="18"/>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10-16</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3</w:t>
            </w:r>
          </w:p>
        </w:tc>
      </w:tr>
      <w:tr w:rsidR="000D3C12" w:rsidRPr="00E048D2" w:rsidTr="00C30AD1">
        <w:trPr>
          <w:trHeight w:val="269"/>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60+</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4</w:t>
            </w:r>
          </w:p>
        </w:tc>
        <w:tc>
          <w:tcPr>
            <w:tcW w:w="354" w:type="dxa"/>
            <w:tcBorders>
              <w:top w:val="nil"/>
              <w:lef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1866" w:type="dxa"/>
            <w:tcBorders>
              <w:top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277" w:type="dxa"/>
            <w:tcBorders>
              <w:top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354" w:type="dxa"/>
            <w:tcBorders>
              <w:top w:val="nil"/>
              <w:left w:val="nil"/>
              <w:righ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17+</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4</w:t>
            </w:r>
          </w:p>
        </w:tc>
      </w:tr>
    </w:tbl>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 xml:space="preserve">İller, oluşan hasar sayısına dört bölgeye ayrılmıştır. Bölgeler </w:t>
      </w:r>
      <w:r>
        <w:rPr>
          <w:bCs/>
          <w:sz w:val="18"/>
          <w:szCs w:val="18"/>
        </w:rPr>
        <w:t>Çizelge</w:t>
      </w:r>
      <w:r w:rsidRPr="00E048D2">
        <w:rPr>
          <w:bCs/>
          <w:sz w:val="18"/>
          <w:szCs w:val="18"/>
        </w:rPr>
        <w:t xml:space="preserve"> 2’de verilmektedir,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Pr>
          <w:bCs/>
          <w:sz w:val="18"/>
          <w:szCs w:val="18"/>
        </w:rPr>
        <w:t>Çizelge</w:t>
      </w:r>
      <w:r w:rsidRPr="00E048D2">
        <w:rPr>
          <w:bCs/>
          <w:sz w:val="18"/>
          <w:szCs w:val="18"/>
        </w:rPr>
        <w:t xml:space="preserve"> 2. İllerin sınıflandırıldığı bölgeler</w:t>
      </w:r>
    </w:p>
    <w:tbl>
      <w:tblPr>
        <w:tblW w:w="7173" w:type="dxa"/>
        <w:tblInd w:w="55" w:type="dxa"/>
        <w:tblCellMar>
          <w:left w:w="70" w:type="dxa"/>
          <w:right w:w="70" w:type="dxa"/>
        </w:tblCellMar>
        <w:tblLook w:val="04A0" w:firstRow="1" w:lastRow="0" w:firstColumn="1" w:lastColumn="0" w:noHBand="0" w:noVBand="1"/>
      </w:tblPr>
      <w:tblGrid>
        <w:gridCol w:w="925"/>
        <w:gridCol w:w="6248"/>
      </w:tblGrid>
      <w:tr w:rsidR="000D3C12" w:rsidRPr="00E048D2" w:rsidTr="00C30AD1">
        <w:trPr>
          <w:trHeight w:val="224"/>
        </w:trPr>
        <w:tc>
          <w:tcPr>
            <w:tcW w:w="9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0D3C12" w:rsidRPr="00E048D2" w:rsidRDefault="000D3C12" w:rsidP="00C30AD1">
            <w:pPr>
              <w:jc w:val="center"/>
              <w:rPr>
                <w:b/>
                <w:bCs/>
                <w:color w:val="000000"/>
                <w:sz w:val="18"/>
                <w:szCs w:val="18"/>
              </w:rPr>
            </w:pPr>
            <w:r w:rsidRPr="00E048D2">
              <w:rPr>
                <w:b/>
                <w:bCs/>
                <w:color w:val="000000"/>
                <w:sz w:val="18"/>
                <w:szCs w:val="18"/>
              </w:rPr>
              <w:t>İl Bölge 1</w:t>
            </w:r>
          </w:p>
        </w:tc>
        <w:tc>
          <w:tcPr>
            <w:tcW w:w="6248" w:type="dxa"/>
            <w:tcBorders>
              <w:top w:val="single" w:sz="8" w:space="0" w:color="auto"/>
              <w:left w:val="nil"/>
              <w:bottom w:val="single" w:sz="4"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Tunceli, Bingöl, Hakkari, Ardahan, Bitlis, Şırnak, Siirt, Batman, Bartın, Bilecik, Van, Rize</w:t>
            </w:r>
          </w:p>
        </w:tc>
      </w:tr>
      <w:tr w:rsidR="000D3C12" w:rsidRPr="00E048D2" w:rsidTr="00C30AD1">
        <w:trPr>
          <w:trHeight w:val="236"/>
        </w:trPr>
        <w:tc>
          <w:tcPr>
            <w:tcW w:w="925" w:type="dxa"/>
            <w:vMerge/>
            <w:tcBorders>
              <w:top w:val="single" w:sz="8" w:space="0" w:color="auto"/>
              <w:left w:val="single" w:sz="8" w:space="0" w:color="auto"/>
              <w:bottom w:val="single" w:sz="8" w:space="0" w:color="000000"/>
              <w:right w:val="single" w:sz="4" w:space="0" w:color="auto"/>
            </w:tcBorders>
            <w:vAlign w:val="center"/>
          </w:tcPr>
          <w:p w:rsidR="000D3C12" w:rsidRPr="00E048D2" w:rsidRDefault="000D3C12" w:rsidP="00C30AD1">
            <w:pPr>
              <w:rPr>
                <w:b/>
                <w:bCs/>
                <w:color w:val="000000"/>
                <w:sz w:val="18"/>
                <w:szCs w:val="18"/>
              </w:rPr>
            </w:pPr>
          </w:p>
        </w:tc>
        <w:tc>
          <w:tcPr>
            <w:tcW w:w="6248" w:type="dxa"/>
            <w:tcBorders>
              <w:top w:val="single" w:sz="4" w:space="0" w:color="auto"/>
              <w:left w:val="nil"/>
              <w:bottom w:val="single" w:sz="8"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 xml:space="preserve"> Iğdır, Kars, Muş, Gümüşhane, Artvin, Çankırı, Kilis, Sinop, Erzincan, Kırklareli, Ağrı, Mardin.</w:t>
            </w:r>
          </w:p>
        </w:tc>
      </w:tr>
      <w:tr w:rsidR="000D3C12" w:rsidRPr="00E048D2" w:rsidTr="00C30AD1">
        <w:trPr>
          <w:trHeight w:val="224"/>
        </w:trPr>
        <w:tc>
          <w:tcPr>
            <w:tcW w:w="925" w:type="dxa"/>
            <w:vMerge w:val="restart"/>
            <w:tcBorders>
              <w:top w:val="nil"/>
              <w:left w:val="single" w:sz="8" w:space="0" w:color="auto"/>
              <w:bottom w:val="single" w:sz="8" w:space="0" w:color="000000"/>
              <w:right w:val="single" w:sz="4" w:space="0" w:color="auto"/>
            </w:tcBorders>
            <w:shd w:val="clear" w:color="auto" w:fill="auto"/>
            <w:noWrap/>
            <w:vAlign w:val="center"/>
          </w:tcPr>
          <w:p w:rsidR="000D3C12" w:rsidRPr="00E048D2" w:rsidRDefault="000D3C12" w:rsidP="00C30AD1">
            <w:pPr>
              <w:jc w:val="center"/>
              <w:rPr>
                <w:b/>
                <w:bCs/>
                <w:color w:val="000000"/>
                <w:sz w:val="18"/>
                <w:szCs w:val="18"/>
              </w:rPr>
            </w:pPr>
            <w:r w:rsidRPr="00E048D2">
              <w:rPr>
                <w:b/>
                <w:bCs/>
                <w:color w:val="000000"/>
                <w:sz w:val="18"/>
                <w:szCs w:val="18"/>
              </w:rPr>
              <w:t>İl Bölge 2</w:t>
            </w:r>
          </w:p>
        </w:tc>
        <w:tc>
          <w:tcPr>
            <w:tcW w:w="6248" w:type="dxa"/>
            <w:tcBorders>
              <w:top w:val="single" w:sz="8" w:space="0" w:color="auto"/>
              <w:left w:val="nil"/>
              <w:bottom w:val="single" w:sz="4"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Çanakkale, Yalova, Bayburt, Edirne, Bolu, Burdur, Tekirdağ, Karabük, Niğde, Adıyaman, Tokat</w:t>
            </w:r>
          </w:p>
        </w:tc>
      </w:tr>
      <w:tr w:rsidR="000D3C12" w:rsidRPr="00E048D2" w:rsidTr="00C30AD1">
        <w:trPr>
          <w:trHeight w:val="236"/>
        </w:trPr>
        <w:tc>
          <w:tcPr>
            <w:tcW w:w="925" w:type="dxa"/>
            <w:vMerge/>
            <w:tcBorders>
              <w:top w:val="nil"/>
              <w:left w:val="single" w:sz="8" w:space="0" w:color="auto"/>
              <w:bottom w:val="single" w:sz="8" w:space="0" w:color="000000"/>
              <w:right w:val="single" w:sz="4" w:space="0" w:color="auto"/>
            </w:tcBorders>
            <w:vAlign w:val="center"/>
          </w:tcPr>
          <w:p w:rsidR="000D3C12" w:rsidRPr="00E048D2" w:rsidRDefault="000D3C12" w:rsidP="00C30AD1">
            <w:pPr>
              <w:rPr>
                <w:b/>
                <w:bCs/>
                <w:color w:val="000000"/>
                <w:sz w:val="18"/>
                <w:szCs w:val="18"/>
              </w:rPr>
            </w:pPr>
          </w:p>
        </w:tc>
        <w:tc>
          <w:tcPr>
            <w:tcW w:w="6248" w:type="dxa"/>
            <w:tcBorders>
              <w:top w:val="single" w:sz="4" w:space="0" w:color="auto"/>
              <w:left w:val="nil"/>
              <w:bottom w:val="single" w:sz="8"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Karaman, Nevşehir, Düzce, Afyon, Kırıkkale, Kırşehir, Erzurum, Aksaray, Diyarbakır</w:t>
            </w:r>
          </w:p>
        </w:tc>
      </w:tr>
      <w:tr w:rsidR="000D3C12" w:rsidRPr="00E048D2" w:rsidTr="003218C1">
        <w:trPr>
          <w:trHeight w:val="224"/>
        </w:trPr>
        <w:tc>
          <w:tcPr>
            <w:tcW w:w="925" w:type="dxa"/>
            <w:vMerge w:val="restart"/>
            <w:tcBorders>
              <w:top w:val="nil"/>
              <w:left w:val="single" w:sz="8" w:space="0" w:color="auto"/>
              <w:bottom w:val="single" w:sz="4" w:space="0" w:color="auto"/>
              <w:right w:val="single" w:sz="4" w:space="0" w:color="auto"/>
            </w:tcBorders>
            <w:shd w:val="clear" w:color="auto" w:fill="auto"/>
            <w:noWrap/>
            <w:vAlign w:val="center"/>
          </w:tcPr>
          <w:p w:rsidR="000D3C12" w:rsidRPr="00E048D2" w:rsidRDefault="000D3C12" w:rsidP="00C30AD1">
            <w:pPr>
              <w:jc w:val="center"/>
              <w:rPr>
                <w:b/>
                <w:bCs/>
                <w:color w:val="000000"/>
                <w:sz w:val="18"/>
                <w:szCs w:val="18"/>
              </w:rPr>
            </w:pPr>
            <w:r w:rsidRPr="00E048D2">
              <w:rPr>
                <w:b/>
                <w:bCs/>
                <w:color w:val="000000"/>
                <w:sz w:val="18"/>
                <w:szCs w:val="18"/>
              </w:rPr>
              <w:t>İl Bölge 3</w:t>
            </w:r>
          </w:p>
        </w:tc>
        <w:tc>
          <w:tcPr>
            <w:tcW w:w="6248" w:type="dxa"/>
            <w:tcBorders>
              <w:top w:val="single" w:sz="8" w:space="0" w:color="auto"/>
              <w:left w:val="nil"/>
              <w:bottom w:val="single" w:sz="4"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Aydın, Isparta, Şanlıurfa, Osmaniye, Zonguldak, Kahramanmaraş, Malatya, Kastamonu</w:t>
            </w:r>
          </w:p>
        </w:tc>
      </w:tr>
      <w:tr w:rsidR="000D3C12" w:rsidRPr="00E048D2" w:rsidTr="003218C1">
        <w:trPr>
          <w:trHeight w:val="236"/>
        </w:trPr>
        <w:tc>
          <w:tcPr>
            <w:tcW w:w="925" w:type="dxa"/>
            <w:vMerge/>
            <w:tcBorders>
              <w:top w:val="single" w:sz="4" w:space="0" w:color="auto"/>
              <w:left w:val="single" w:sz="4" w:space="0" w:color="auto"/>
              <w:bottom w:val="single" w:sz="4" w:space="0" w:color="auto"/>
              <w:right w:val="single" w:sz="4" w:space="0" w:color="auto"/>
            </w:tcBorders>
            <w:vAlign w:val="center"/>
          </w:tcPr>
          <w:p w:rsidR="000D3C12" w:rsidRPr="00E048D2" w:rsidRDefault="000D3C12" w:rsidP="00C30AD1">
            <w:pPr>
              <w:rPr>
                <w:b/>
                <w:bCs/>
                <w:color w:val="000000"/>
                <w:sz w:val="18"/>
                <w:szCs w:val="18"/>
              </w:rPr>
            </w:pPr>
          </w:p>
        </w:tc>
        <w:tc>
          <w:tcPr>
            <w:tcW w:w="6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Ordu, Elazığ, Giresun, Uşak, Muğla, Trabzon, Yozgat, Amasya, Sakarya, Kütahya, Hatay, Çorum</w:t>
            </w:r>
          </w:p>
        </w:tc>
      </w:tr>
      <w:tr w:rsidR="000D3C12" w:rsidRPr="00E048D2" w:rsidTr="003218C1">
        <w:trPr>
          <w:trHeight w:val="224"/>
        </w:trPr>
        <w:tc>
          <w:tcPr>
            <w:tcW w:w="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D3C12" w:rsidRPr="00E048D2" w:rsidRDefault="000D3C12" w:rsidP="00C30AD1">
            <w:pPr>
              <w:jc w:val="center"/>
              <w:rPr>
                <w:b/>
                <w:bCs/>
                <w:color w:val="000000"/>
                <w:sz w:val="18"/>
                <w:szCs w:val="18"/>
              </w:rPr>
            </w:pPr>
            <w:r w:rsidRPr="00E048D2">
              <w:rPr>
                <w:b/>
                <w:bCs/>
                <w:color w:val="000000"/>
                <w:sz w:val="18"/>
                <w:szCs w:val="18"/>
              </w:rPr>
              <w:t>İl Bölge 4</w:t>
            </w:r>
          </w:p>
        </w:tc>
        <w:tc>
          <w:tcPr>
            <w:tcW w:w="6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Eskişehir, Manisa, Balıkesir, Samsun, Konya, Sivas, Kocaeli, Adana, Denizli</w:t>
            </w:r>
          </w:p>
        </w:tc>
      </w:tr>
      <w:tr w:rsidR="000D3C12" w:rsidRPr="00E048D2" w:rsidTr="003218C1">
        <w:trPr>
          <w:trHeight w:val="236"/>
        </w:trPr>
        <w:tc>
          <w:tcPr>
            <w:tcW w:w="925" w:type="dxa"/>
            <w:vMerge/>
            <w:tcBorders>
              <w:top w:val="single" w:sz="4" w:space="0" w:color="auto"/>
              <w:left w:val="single" w:sz="8" w:space="0" w:color="auto"/>
              <w:bottom w:val="single" w:sz="8" w:space="0" w:color="000000"/>
              <w:right w:val="single" w:sz="4" w:space="0" w:color="auto"/>
            </w:tcBorders>
            <w:vAlign w:val="center"/>
          </w:tcPr>
          <w:p w:rsidR="000D3C12" w:rsidRPr="00E048D2" w:rsidRDefault="000D3C12" w:rsidP="00C30AD1">
            <w:pPr>
              <w:rPr>
                <w:b/>
                <w:bCs/>
                <w:color w:val="000000"/>
                <w:sz w:val="18"/>
                <w:szCs w:val="18"/>
              </w:rPr>
            </w:pPr>
          </w:p>
        </w:tc>
        <w:tc>
          <w:tcPr>
            <w:tcW w:w="6248" w:type="dxa"/>
            <w:tcBorders>
              <w:top w:val="single" w:sz="4" w:space="0" w:color="auto"/>
              <w:left w:val="nil"/>
              <w:bottom w:val="single" w:sz="8" w:space="0" w:color="auto"/>
              <w:right w:val="single" w:sz="8" w:space="0" w:color="000000"/>
            </w:tcBorders>
            <w:shd w:val="clear" w:color="auto" w:fill="auto"/>
            <w:noWrap/>
            <w:vAlign w:val="bottom"/>
          </w:tcPr>
          <w:p w:rsidR="000D3C12" w:rsidRPr="00E048D2" w:rsidRDefault="000D3C12" w:rsidP="00C30AD1">
            <w:pPr>
              <w:rPr>
                <w:color w:val="000000"/>
                <w:sz w:val="18"/>
                <w:szCs w:val="18"/>
              </w:rPr>
            </w:pPr>
            <w:r w:rsidRPr="00E048D2">
              <w:rPr>
                <w:color w:val="000000"/>
                <w:sz w:val="18"/>
                <w:szCs w:val="18"/>
              </w:rPr>
              <w:t>Gaziantep, Antalya, Mersin, İzmir, Bursa, İstanbul, Kayseri, Ankara</w:t>
            </w:r>
          </w:p>
        </w:tc>
      </w:tr>
    </w:tbl>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Veriye uygulanan logaritmik dönüşümlü normal</w:t>
      </w:r>
      <w:r>
        <w:rPr>
          <w:bCs/>
          <w:sz w:val="18"/>
          <w:szCs w:val="18"/>
        </w:rPr>
        <w:t xml:space="preserve"> regresyon model sonuçları Çizelge</w:t>
      </w:r>
      <w:r w:rsidRPr="00E048D2">
        <w:rPr>
          <w:bCs/>
          <w:sz w:val="18"/>
          <w:szCs w:val="18"/>
        </w:rPr>
        <w:t xml:space="preserve"> 3’te verilmektedir,</w:t>
      </w:r>
    </w:p>
    <w:p w:rsidR="000D3C12" w:rsidRPr="00E048D2" w:rsidRDefault="000D3C12" w:rsidP="000D3C12">
      <w:pPr>
        <w:jc w:val="both"/>
        <w:rPr>
          <w:sz w:val="18"/>
          <w:szCs w:val="18"/>
        </w:rPr>
      </w:pPr>
    </w:p>
    <w:p w:rsidR="000D3C12" w:rsidRPr="00E048D2" w:rsidRDefault="000D3C12" w:rsidP="00A97AE9">
      <w:pPr>
        <w:rPr>
          <w:sz w:val="18"/>
          <w:szCs w:val="18"/>
        </w:rPr>
      </w:pPr>
      <w:r>
        <w:rPr>
          <w:sz w:val="18"/>
          <w:szCs w:val="18"/>
        </w:rPr>
        <w:t>Çizelge</w:t>
      </w:r>
      <w:r w:rsidRPr="00E048D2">
        <w:rPr>
          <w:sz w:val="18"/>
          <w:szCs w:val="18"/>
        </w:rPr>
        <w:t xml:space="preserve"> 3. Log-dönüşümlü doğrusal model sonuçları</w:t>
      </w:r>
    </w:p>
    <w:tbl>
      <w:tblPr>
        <w:tblW w:w="6995" w:type="dxa"/>
        <w:jc w:val="center"/>
        <w:tblInd w:w="55" w:type="dxa"/>
        <w:tblCellMar>
          <w:left w:w="70" w:type="dxa"/>
          <w:right w:w="70" w:type="dxa"/>
        </w:tblCellMar>
        <w:tblLook w:val="04A0" w:firstRow="1" w:lastRow="0" w:firstColumn="1" w:lastColumn="0" w:noHBand="0" w:noVBand="1"/>
      </w:tblPr>
      <w:tblGrid>
        <w:gridCol w:w="1670"/>
        <w:gridCol w:w="1413"/>
        <w:gridCol w:w="1260"/>
        <w:gridCol w:w="1397"/>
        <w:gridCol w:w="1255"/>
      </w:tblGrid>
      <w:tr w:rsidR="000D3C12" w:rsidRPr="00E048D2" w:rsidTr="00C30AD1">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b/>
                <w:bCs/>
                <w:color w:val="000000"/>
                <w:sz w:val="18"/>
                <w:szCs w:val="18"/>
              </w:rPr>
            </w:pPr>
            <w:r w:rsidRPr="00E048D2">
              <w:rPr>
                <w:b/>
                <w:bCs/>
                <w:color w:val="000000"/>
                <w:sz w:val="18"/>
                <w:szCs w:val="18"/>
              </w:rPr>
              <w:t>Katsayılar</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b/>
                <w:bCs/>
                <w:color w:val="000000"/>
                <w:sz w:val="18"/>
                <w:szCs w:val="18"/>
              </w:rPr>
            </w:pPr>
            <w:r w:rsidRPr="00E048D2">
              <w:rPr>
                <w:b/>
                <w:bCs/>
                <w:color w:val="000000"/>
                <w:sz w:val="18"/>
                <w:szCs w:val="18"/>
              </w:rPr>
              <w:t>Tahmin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b/>
                <w:bCs/>
                <w:color w:val="000000"/>
                <w:sz w:val="18"/>
                <w:szCs w:val="18"/>
              </w:rPr>
            </w:pPr>
            <w:r w:rsidRPr="00E048D2">
              <w:rPr>
                <w:b/>
                <w:bCs/>
                <w:color w:val="000000"/>
                <w:sz w:val="18"/>
                <w:szCs w:val="18"/>
              </w:rPr>
              <w:t>Std.Hata</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b/>
                <w:bCs/>
                <w:color w:val="000000"/>
                <w:sz w:val="18"/>
                <w:szCs w:val="18"/>
              </w:rPr>
            </w:pPr>
            <w:r w:rsidRPr="00E048D2">
              <w:rPr>
                <w:b/>
                <w:bCs/>
                <w:color w:val="000000"/>
                <w:sz w:val="18"/>
                <w:szCs w:val="18"/>
              </w:rPr>
              <w:t>t-değeri</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b/>
                <w:bCs/>
                <w:color w:val="000000"/>
                <w:sz w:val="18"/>
                <w:szCs w:val="18"/>
              </w:rPr>
            </w:pPr>
            <w:r w:rsidRPr="00E048D2">
              <w:rPr>
                <w:b/>
                <w:bCs/>
                <w:color w:val="000000"/>
                <w:sz w:val="18"/>
                <w:szCs w:val="18"/>
              </w:rPr>
              <w:t>Pr(&gt;|t|)</w:t>
            </w:r>
          </w:p>
        </w:tc>
      </w:tr>
      <w:tr w:rsidR="000D3C12" w:rsidRPr="00E048D2" w:rsidTr="00C30AD1">
        <w:trPr>
          <w:trHeight w:val="259"/>
          <w:jc w:val="center"/>
        </w:trPr>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Sabit terim</w:t>
            </w:r>
          </w:p>
        </w:tc>
        <w:tc>
          <w:tcPr>
            <w:tcW w:w="1413"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6,58160</w:t>
            </w:r>
          </w:p>
        </w:tc>
        <w:tc>
          <w:tcPr>
            <w:tcW w:w="1260"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0,04099</w:t>
            </w:r>
          </w:p>
        </w:tc>
        <w:tc>
          <w:tcPr>
            <w:tcW w:w="1397"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160,58287</w:t>
            </w:r>
          </w:p>
        </w:tc>
        <w:tc>
          <w:tcPr>
            <w:tcW w:w="1255"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0,000E+00*</w:t>
            </w:r>
          </w:p>
        </w:tc>
      </w:tr>
      <w:tr w:rsidR="000D3C12" w:rsidRPr="00E048D2" w:rsidTr="00C30AD1">
        <w:trPr>
          <w:trHeight w:val="259"/>
          <w:jc w:val="center"/>
        </w:trPr>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yas2</w:t>
            </w:r>
          </w:p>
        </w:tc>
        <w:tc>
          <w:tcPr>
            <w:tcW w:w="1413"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-0,03379</w:t>
            </w:r>
          </w:p>
        </w:tc>
        <w:tc>
          <w:tcPr>
            <w:tcW w:w="1260"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0,02270</w:t>
            </w:r>
          </w:p>
        </w:tc>
        <w:tc>
          <w:tcPr>
            <w:tcW w:w="1397"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-1,48860</w:t>
            </w:r>
          </w:p>
        </w:tc>
        <w:tc>
          <w:tcPr>
            <w:tcW w:w="1255"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1,366E-01</w:t>
            </w:r>
          </w:p>
        </w:tc>
      </w:tr>
      <w:tr w:rsidR="000D3C12" w:rsidRPr="00E048D2" w:rsidTr="00C30AD1">
        <w:trPr>
          <w:trHeight w:val="259"/>
          <w:jc w:val="center"/>
        </w:trPr>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yas3</w:t>
            </w:r>
          </w:p>
        </w:tc>
        <w:tc>
          <w:tcPr>
            <w:tcW w:w="1413"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0,20974</w:t>
            </w:r>
          </w:p>
        </w:tc>
        <w:tc>
          <w:tcPr>
            <w:tcW w:w="1260"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0,02098</w:t>
            </w:r>
          </w:p>
        </w:tc>
        <w:tc>
          <w:tcPr>
            <w:tcW w:w="1397"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9,99865</w:t>
            </w:r>
          </w:p>
        </w:tc>
        <w:tc>
          <w:tcPr>
            <w:tcW w:w="1255"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1,615E-23*</w:t>
            </w:r>
          </w:p>
        </w:tc>
      </w:tr>
      <w:tr w:rsidR="000D3C12" w:rsidRPr="00E048D2" w:rsidTr="00913D47">
        <w:trPr>
          <w:trHeight w:val="259"/>
          <w:jc w:val="center"/>
        </w:trPr>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yas4</w:t>
            </w:r>
          </w:p>
        </w:tc>
        <w:tc>
          <w:tcPr>
            <w:tcW w:w="1413"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0,26953</w:t>
            </w:r>
          </w:p>
        </w:tc>
        <w:tc>
          <w:tcPr>
            <w:tcW w:w="1260"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0,02253</w:t>
            </w:r>
          </w:p>
        </w:tc>
        <w:tc>
          <w:tcPr>
            <w:tcW w:w="1397"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11,96257</w:t>
            </w:r>
          </w:p>
        </w:tc>
        <w:tc>
          <w:tcPr>
            <w:tcW w:w="1255" w:type="dxa"/>
            <w:tcBorders>
              <w:top w:val="nil"/>
              <w:left w:val="nil"/>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6,107E-33*</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lastRenderedPageBreak/>
              <w:t>cnsyt</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0,01084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0,01153</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0,94002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3,472E-01</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il2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-0,06441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0,02832</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-2,27397</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2,297E-02*</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il3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-0,09699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0,02670</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-3,63271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2,807E-04*</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il4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-0,10371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0,02534</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-4,09265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4,271E-05*</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slndr2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0,00154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0,02380</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0,06486</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9,483E-01</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slndr3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0,04291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0,02609</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1,64468</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1,00E-01</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aracyas2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-0,03668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0,01457</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-2,51746</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1,182E-02*</w:t>
            </w:r>
          </w:p>
        </w:tc>
      </w:tr>
      <w:tr w:rsidR="000D3C12" w:rsidRPr="00E048D2" w:rsidTr="00913D47">
        <w:trPr>
          <w:trHeight w:val="259"/>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aracyas3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-0,06335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0,01398</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-4,53215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5,850E-06*</w:t>
            </w:r>
          </w:p>
        </w:tc>
      </w:tr>
      <w:tr w:rsidR="000D3C12" w:rsidRPr="00E048D2" w:rsidTr="00913D47">
        <w:trPr>
          <w:trHeight w:val="270"/>
          <w:jc w:val="cent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rPr>
                <w:color w:val="000000"/>
                <w:sz w:val="18"/>
                <w:szCs w:val="18"/>
              </w:rPr>
            </w:pPr>
            <w:r w:rsidRPr="00E048D2">
              <w:rPr>
                <w:color w:val="000000"/>
                <w:sz w:val="18"/>
                <w:szCs w:val="18"/>
              </w:rPr>
              <w:t>aracyas4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-0,08568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0,01405</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-6,09592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C12" w:rsidRPr="00E048D2" w:rsidRDefault="000D3C12" w:rsidP="00C30AD1">
            <w:pPr>
              <w:jc w:val="center"/>
              <w:rPr>
                <w:color w:val="000000"/>
                <w:sz w:val="18"/>
                <w:szCs w:val="18"/>
              </w:rPr>
            </w:pPr>
            <w:r w:rsidRPr="00E048D2">
              <w:rPr>
                <w:color w:val="000000"/>
                <w:sz w:val="18"/>
                <w:szCs w:val="18"/>
              </w:rPr>
              <w:t>1,095E-09*</w:t>
            </w:r>
          </w:p>
        </w:tc>
      </w:tr>
      <w:tr w:rsidR="000D3C12" w:rsidRPr="00E048D2" w:rsidTr="00913D47">
        <w:trPr>
          <w:trHeight w:val="270"/>
          <w:jc w:val="center"/>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D3C12" w:rsidRPr="00E048D2" w:rsidRDefault="000D3C12" w:rsidP="00C30AD1">
            <w:pPr>
              <w:jc w:val="center"/>
              <w:rPr>
                <w:color w:val="000000"/>
                <w:sz w:val="18"/>
                <w:szCs w:val="18"/>
              </w:rPr>
            </w:pPr>
            <w:r w:rsidRPr="00E048D2">
              <w:rPr>
                <w:color w:val="000000"/>
                <w:sz w:val="18"/>
                <w:szCs w:val="18"/>
              </w:rPr>
              <w:t>AIC=925.281, SBC=925.406</w:t>
            </w:r>
          </w:p>
        </w:tc>
      </w:tr>
    </w:tbl>
    <w:p w:rsidR="000D3C12" w:rsidRPr="00E048D2" w:rsidRDefault="000D3C12" w:rsidP="000D3C12">
      <w:pPr>
        <w:jc w:val="both"/>
        <w:rPr>
          <w:sz w:val="18"/>
          <w:szCs w:val="18"/>
        </w:rPr>
      </w:pPr>
      <w:r w:rsidRPr="00E048D2">
        <w:rPr>
          <w:sz w:val="18"/>
          <w:szCs w:val="18"/>
        </w:rPr>
        <w:t>* %95 güven düzeyinde anlamlılık</w:t>
      </w:r>
    </w:p>
    <w:p w:rsidR="000D3C12" w:rsidRPr="00E048D2" w:rsidRDefault="000D3C12" w:rsidP="000D3C12">
      <w:pPr>
        <w:jc w:val="both"/>
        <w:rPr>
          <w:sz w:val="18"/>
          <w:szCs w:val="18"/>
        </w:rPr>
      </w:pPr>
    </w:p>
    <w:p w:rsidR="000D3C12" w:rsidRPr="00E048D2" w:rsidRDefault="000D3C12" w:rsidP="000D3C12">
      <w:pPr>
        <w:jc w:val="both"/>
        <w:rPr>
          <w:bCs/>
          <w:sz w:val="18"/>
          <w:szCs w:val="18"/>
        </w:rPr>
      </w:pPr>
      <w:r w:rsidRPr="00E048D2">
        <w:rPr>
          <w:bCs/>
          <w:sz w:val="18"/>
          <w:szCs w:val="18"/>
        </w:rPr>
        <w:t>Model sonuçlarından yararlanılarak, %95 güven düzeyinde hasar tutarını etkileyen anlamlı değişkenlerin sigortalı yaşı, il ve araç yaşı olduğu söylenebilir.</w:t>
      </w:r>
      <w:r w:rsidRPr="00E048D2">
        <w:rPr>
          <w:sz w:val="18"/>
          <w:szCs w:val="18"/>
        </w:rPr>
        <w:t xml:space="preserve"> </w:t>
      </w:r>
      <w:r w:rsidRPr="00E048D2">
        <w:rPr>
          <w:bCs/>
          <w:sz w:val="18"/>
          <w:szCs w:val="18"/>
        </w:rPr>
        <w:t xml:space="preserve">Eşdeğişkenlerin katsayı tahminlerine bakıldığında, sigortalı yaş aralıklarında 36-45 yaş aralığındaki sigortalıların beklenen hasar şiddeti, temel seviye olan 18-35 yaş arasındaki bireylerinkinden daha düşüktür. 46-59 ve 60+ yaşlarında ise hasar şiddetinin sırasıyla artması beklenmektedir.  </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Aracın kayıtlı olduğu il bölgelerine bakıldığında ise temel seviye olan İl Bölge 1’den İl Bölge 4’e kadar hasar şiddetinin sırasıyla azalması beklenmektedir. Son olarak araç yaşına bakıldığında, il bölgelerine benzer olarak arac yaşı arttıkça hasar şiddetinin azalması beklenmektedir.</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%90, %95 ve %99 güven düzeylerinde, sigortalı yaşı, aracın kayıtlı olduğu il bölgesi ve araç yaşına göre risk ölçümü hassasiyetine bakılmıştır. Risk ölçümleri hesaplanırken tarihsel benzetim tekniği kullanılmıştır. Tarihsel benzetim, geçmişte meydana gelen olayların yakın geleceği temsil edebileceği varsayımıyla kullanılan bir yöntemdir. Bu yöntemde, tarihi verilerden faydalanarak deneysel dağılım oluşturulur ve buna bağlı olarak risk ölçümü yapılabilir. Risk ölçümlerinin değişkenlere göre hassasiyerleri Şekil 3-5’te görselleştirilmiştir.</w:t>
      </w:r>
    </w:p>
    <w:p w:rsidR="000D3C12" w:rsidRPr="00E048D2" w:rsidRDefault="000D3C12" w:rsidP="000D3C12">
      <w:pPr>
        <w:jc w:val="both"/>
        <w:rPr>
          <w:bCs/>
          <w:sz w:val="18"/>
          <w:szCs w:val="18"/>
        </w:rPr>
      </w:pPr>
    </w:p>
    <w:p w:rsidR="000D3C12" w:rsidRPr="00E048D2" w:rsidRDefault="000D3C12" w:rsidP="000D3C12">
      <w:pPr>
        <w:jc w:val="both"/>
        <w:rPr>
          <w:noProof/>
          <w:sz w:val="18"/>
          <w:szCs w:val="18"/>
        </w:rPr>
      </w:pPr>
      <w:r w:rsidRPr="00E048D2">
        <w:rPr>
          <w:noProof/>
          <w:sz w:val="18"/>
          <w:szCs w:val="18"/>
        </w:rPr>
        <w:drawing>
          <wp:inline distT="0" distB="0" distL="0" distR="0" wp14:anchorId="7ECE893A" wp14:editId="54737AFE">
            <wp:extent cx="4667250" cy="2486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0" cy="2486025"/>
                    </a:xfrm>
                    <a:prstGeom prst="rect">
                      <a:avLst/>
                    </a:prstGeom>
                    <a:noFill/>
                    <a:ln>
                      <a:noFill/>
                    </a:ln>
                  </pic:spPr>
                </pic:pic>
              </a:graphicData>
            </a:graphic>
          </wp:inline>
        </w:drawing>
      </w:r>
    </w:p>
    <w:p w:rsidR="000D3C12" w:rsidRPr="00E048D2" w:rsidRDefault="000D3C12" w:rsidP="000D3C12">
      <w:pPr>
        <w:jc w:val="center"/>
        <w:rPr>
          <w:bCs/>
          <w:sz w:val="18"/>
          <w:szCs w:val="18"/>
        </w:rPr>
      </w:pPr>
      <w:r w:rsidRPr="00E048D2">
        <w:rPr>
          <w:bCs/>
          <w:sz w:val="18"/>
          <w:szCs w:val="18"/>
        </w:rPr>
        <w:t>Sekil 3. İl bölgelerine göre farklı güven düzeylerinde risk ölçümleri</w:t>
      </w:r>
    </w:p>
    <w:p w:rsidR="000D3C12" w:rsidRPr="00E048D2" w:rsidRDefault="000D3C12" w:rsidP="000D3C12">
      <w:pPr>
        <w:jc w:val="both"/>
        <w:rPr>
          <w:bCs/>
          <w:sz w:val="18"/>
          <w:szCs w:val="18"/>
        </w:rPr>
      </w:pPr>
    </w:p>
    <w:p w:rsidR="000D3C12" w:rsidRPr="00E048D2" w:rsidRDefault="000D3C12" w:rsidP="000D3C12">
      <w:pPr>
        <w:jc w:val="both"/>
        <w:rPr>
          <w:bCs/>
          <w:sz w:val="18"/>
          <w:szCs w:val="18"/>
        </w:rPr>
      </w:pPr>
      <w:r w:rsidRPr="00E048D2">
        <w:rPr>
          <w:bCs/>
          <w:sz w:val="18"/>
          <w:szCs w:val="18"/>
        </w:rPr>
        <w:t xml:space="preserve">Diğer bölgelere göre az sayıda hasara sahip olan İl Bölge 1 ve İl Bölge 2’deki hasar tutarları, Bölge 1 adı altında birleştirilmiştir. %90 ve %95 güven düzeylerinde hem RMD hem BK risk ölçümlerine </w:t>
      </w:r>
      <w:r w:rsidR="003218C1">
        <w:rPr>
          <w:bCs/>
          <w:sz w:val="18"/>
          <w:szCs w:val="18"/>
        </w:rPr>
        <w:t xml:space="preserve">göre </w:t>
      </w:r>
      <w:r w:rsidRPr="00E048D2">
        <w:rPr>
          <w:bCs/>
          <w:sz w:val="18"/>
          <w:szCs w:val="18"/>
        </w:rPr>
        <w:t xml:space="preserve">en yüksek riskin Bölge 1’de olduğu görülmektedir. %99 güven düzeyinde Beklenen Kayıp yöntemine göre en yüksek riskin Bölge 3’te olduğu, bu bölgede oluşan hasar dağılımının, Bölge 1 ve Bölge 2’ye göre daha uzun kuyruklu olduğu anlaşılmaktadır. %99 güven düzeyinde RMD ölçümlerine bakıldığında en yüksek risk Bölge 1’dedir. RMD’nin uzun kuyruklu dağılımlarda kuyruk kısmındaki kayıpları ölçmede yetersiz olduğu görülmektedir. </w:t>
      </w:r>
    </w:p>
    <w:p w:rsidR="000D3C12" w:rsidRPr="00E048D2" w:rsidRDefault="000D3C12" w:rsidP="000D3C12">
      <w:pPr>
        <w:pStyle w:val="Subtitle"/>
        <w:numPr>
          <w:ilvl w:val="1"/>
          <w:numId w:val="0"/>
        </w:numPr>
        <w:tabs>
          <w:tab w:val="left" w:pos="300"/>
        </w:tabs>
        <w:spacing w:before="360" w:after="360"/>
        <w:jc w:val="center"/>
        <w:rPr>
          <w:sz w:val="18"/>
          <w:szCs w:val="18"/>
          <w:lang w:val="tr-TR"/>
        </w:rPr>
      </w:pPr>
      <w:r w:rsidRPr="00E048D2">
        <w:rPr>
          <w:noProof/>
          <w:sz w:val="18"/>
          <w:szCs w:val="18"/>
          <w:lang w:val="tr-TR" w:eastAsia="tr-TR"/>
        </w:rPr>
        <w:drawing>
          <wp:inline distT="0" distB="0" distL="0" distR="0" wp14:anchorId="51DA52EA" wp14:editId="3FABBED0">
            <wp:extent cx="4667250" cy="2257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0" cy="2257425"/>
                    </a:xfrm>
                    <a:prstGeom prst="rect">
                      <a:avLst/>
                    </a:prstGeom>
                    <a:noFill/>
                    <a:ln>
                      <a:noFill/>
                    </a:ln>
                  </pic:spPr>
                </pic:pic>
              </a:graphicData>
            </a:graphic>
          </wp:inline>
        </w:drawing>
      </w:r>
      <w:r w:rsidRPr="00E048D2">
        <w:rPr>
          <w:b w:val="0"/>
          <w:sz w:val="18"/>
          <w:szCs w:val="18"/>
          <w:lang w:val="tr-TR"/>
        </w:rPr>
        <w:t xml:space="preserve">Şekil 4. Sigortalı yaş gruplarına </w:t>
      </w:r>
      <w:r w:rsidRPr="00E048D2">
        <w:rPr>
          <w:b w:val="0"/>
          <w:bCs/>
          <w:sz w:val="18"/>
          <w:szCs w:val="18"/>
          <w:lang w:val="tr-TR"/>
        </w:rPr>
        <w:t>göre farklı güven düzeylerinde risk ölçümleri</w:t>
      </w:r>
    </w:p>
    <w:p w:rsidR="000D3C12" w:rsidRPr="00E048D2" w:rsidRDefault="000D3C12" w:rsidP="000D3C12">
      <w:pPr>
        <w:pStyle w:val="Subtitle"/>
        <w:numPr>
          <w:ilvl w:val="1"/>
          <w:numId w:val="0"/>
        </w:numPr>
        <w:tabs>
          <w:tab w:val="left" w:pos="300"/>
        </w:tabs>
        <w:spacing w:before="360" w:after="360"/>
        <w:jc w:val="both"/>
        <w:rPr>
          <w:b w:val="0"/>
          <w:sz w:val="18"/>
          <w:szCs w:val="18"/>
          <w:lang w:val="tr-TR"/>
        </w:rPr>
      </w:pPr>
      <w:r w:rsidRPr="00E048D2">
        <w:rPr>
          <w:b w:val="0"/>
          <w:sz w:val="18"/>
          <w:szCs w:val="18"/>
          <w:lang w:val="tr-TR"/>
        </w:rPr>
        <w:t xml:space="preserve">Şekil 4’e bakıldığında, genel olarak her üç güven düzeyi ve iki risk ölçümü yöntemine göre 60 ve üzerindeki yaşlarda bulunan sigortalıların, diğer yaşlardaki sigortalılara göre daha yüksek risk oluşturduğu söylenebilir. 36-45 yaş arası sürücülerde risk ölçümlerinin diğer yaş gurubundaki sürücülere göre daha düşük olduğu gözlenmiştir. %99 güven düzeyinde BK yöntemine göre 18-35 yaş grubundaki sürücüler için riskin arttığı görülmektedir. Burada, RMD’nin, uzun kuyruklu dağılımlarda kuyruk ölçümlerini tespit etmede BK yöntemi kadar başarılı olmadığı bir kez daha anlaşılmıştır. </w:t>
      </w:r>
    </w:p>
    <w:p w:rsidR="000D3C12" w:rsidRPr="00E048D2" w:rsidRDefault="000D3C12" w:rsidP="000D3C12">
      <w:pPr>
        <w:pStyle w:val="Subtitle"/>
        <w:numPr>
          <w:ilvl w:val="1"/>
          <w:numId w:val="0"/>
        </w:numPr>
        <w:tabs>
          <w:tab w:val="left" w:pos="300"/>
        </w:tabs>
        <w:spacing w:before="360" w:after="360"/>
        <w:jc w:val="center"/>
        <w:rPr>
          <w:sz w:val="18"/>
          <w:szCs w:val="18"/>
          <w:lang w:val="tr-TR"/>
        </w:rPr>
      </w:pPr>
      <w:r w:rsidRPr="00E048D2">
        <w:rPr>
          <w:noProof/>
          <w:sz w:val="18"/>
          <w:szCs w:val="18"/>
          <w:lang w:val="tr-TR" w:eastAsia="tr-TR"/>
        </w:rPr>
        <w:lastRenderedPageBreak/>
        <w:drawing>
          <wp:inline distT="0" distB="0" distL="0" distR="0" wp14:anchorId="2B51F6CF" wp14:editId="027626F0">
            <wp:extent cx="4610100" cy="2581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0" cy="2581275"/>
                    </a:xfrm>
                    <a:prstGeom prst="rect">
                      <a:avLst/>
                    </a:prstGeom>
                    <a:noFill/>
                    <a:ln>
                      <a:noFill/>
                    </a:ln>
                  </pic:spPr>
                </pic:pic>
              </a:graphicData>
            </a:graphic>
          </wp:inline>
        </w:drawing>
      </w:r>
      <w:r w:rsidRPr="00E048D2">
        <w:rPr>
          <w:b w:val="0"/>
          <w:sz w:val="18"/>
          <w:szCs w:val="18"/>
          <w:lang w:val="tr-TR"/>
        </w:rPr>
        <w:t xml:space="preserve">Şekil 5. Araç yaş gruplarına </w:t>
      </w:r>
      <w:r w:rsidRPr="00E048D2">
        <w:rPr>
          <w:b w:val="0"/>
          <w:bCs/>
          <w:sz w:val="18"/>
          <w:szCs w:val="18"/>
          <w:lang w:val="tr-TR"/>
        </w:rPr>
        <w:t>göre farklı güven düzeylerinde risk ölçümleri</w:t>
      </w:r>
    </w:p>
    <w:p w:rsidR="000D3C12" w:rsidRDefault="000D3C12" w:rsidP="000D3C12">
      <w:pPr>
        <w:pStyle w:val="Subtitle"/>
        <w:numPr>
          <w:ilvl w:val="1"/>
          <w:numId w:val="0"/>
        </w:numPr>
        <w:tabs>
          <w:tab w:val="left" w:pos="300"/>
        </w:tabs>
        <w:spacing w:before="360" w:after="360"/>
        <w:jc w:val="both"/>
        <w:rPr>
          <w:b w:val="0"/>
          <w:sz w:val="18"/>
          <w:szCs w:val="18"/>
          <w:lang w:val="tr-TR"/>
        </w:rPr>
      </w:pPr>
      <w:r w:rsidRPr="00E048D2">
        <w:rPr>
          <w:b w:val="0"/>
          <w:sz w:val="18"/>
          <w:szCs w:val="18"/>
          <w:lang w:val="tr-TR"/>
        </w:rPr>
        <w:t xml:space="preserve">Her üç güven düzeyi ve iki risk ölçümü yöntemine göre aracın yaşı arttıkça riskin azaldığı, yeni araçlarda riskin daha yüksek olduğu görülmektedir. Yalnızca, %95 güven düzeyinde RMD ile hesaplanan 4-9 yaş arasındaki araç riskinin, 0-3 yaş arasındaki araç riskine göre daha yüksek olduğu görülmüştür. Bu yaş grubuna ilişkin hasar tutarı dağılımında bir birikme olduğu ve diğer yaş grupları için bu birikmenin azaldığı düşünülmektedir. </w:t>
      </w:r>
    </w:p>
    <w:p w:rsidR="000D3C12" w:rsidRPr="00E048D2" w:rsidRDefault="00A56150" w:rsidP="000D3C12">
      <w:pPr>
        <w:pStyle w:val="Subtitle"/>
        <w:tabs>
          <w:tab w:val="clear" w:pos="397"/>
          <w:tab w:val="left" w:pos="300"/>
        </w:tabs>
        <w:spacing w:before="360" w:after="360"/>
        <w:ind w:left="0" w:firstLine="0"/>
        <w:rPr>
          <w:sz w:val="18"/>
          <w:szCs w:val="18"/>
          <w:lang w:val="tr-TR"/>
        </w:rPr>
      </w:pPr>
      <w:r>
        <w:rPr>
          <w:sz w:val="18"/>
          <w:szCs w:val="18"/>
          <w:lang w:val="tr-TR"/>
        </w:rPr>
        <w:t>5. SONUÇ</w:t>
      </w:r>
    </w:p>
    <w:p w:rsidR="000D3C12" w:rsidRPr="00E048D2" w:rsidRDefault="000D3C12" w:rsidP="000D3C12">
      <w:pPr>
        <w:jc w:val="both"/>
        <w:rPr>
          <w:sz w:val="18"/>
          <w:szCs w:val="18"/>
          <w:lang w:eastAsia="en-US"/>
        </w:rPr>
      </w:pPr>
      <w:r w:rsidRPr="00E048D2">
        <w:rPr>
          <w:sz w:val="18"/>
          <w:szCs w:val="18"/>
          <w:lang w:eastAsia="en-US"/>
        </w:rPr>
        <w:t>Özel bir sigorta şirketinden alınan zorunlu trafik sigortası verilerinin risk ölçümünün amaçlandığı bu çalışmada, hasar tutarları modellenmiş ve model sonuçlarına göre anlamlı olan değişkenlere göre risk ölçümü hassasiyetleri incelenmiştir.</w:t>
      </w:r>
    </w:p>
    <w:p w:rsidR="000D3C12" w:rsidRPr="00E048D2" w:rsidRDefault="000D3C12" w:rsidP="000D3C12">
      <w:pPr>
        <w:jc w:val="both"/>
        <w:rPr>
          <w:sz w:val="18"/>
          <w:szCs w:val="18"/>
          <w:lang w:eastAsia="en-US"/>
        </w:rPr>
      </w:pPr>
    </w:p>
    <w:p w:rsidR="000D3C12" w:rsidRPr="00E048D2" w:rsidRDefault="000D3C12" w:rsidP="000D3C12">
      <w:pPr>
        <w:jc w:val="both"/>
        <w:rPr>
          <w:sz w:val="18"/>
          <w:szCs w:val="18"/>
          <w:lang w:eastAsia="en-US"/>
        </w:rPr>
      </w:pPr>
      <w:r w:rsidRPr="00E048D2">
        <w:rPr>
          <w:sz w:val="18"/>
          <w:szCs w:val="18"/>
          <w:lang w:eastAsia="en-US"/>
        </w:rPr>
        <w:t xml:space="preserve">Risk ölçümü hassasiyetlerine bakılan eşdeğişkenler, sigortalı yaşı, aracın kayıtlı olduğu il bölgeleri ve araç yaşıdır. Model sonuçlarına göre,  beklenen hasar şiddetinin en yüksek olduğu 60+ yaş grubunun risk ölçümü sonuçlarına göre de en riskli yaş grubu olduğu görülmüştür. </w:t>
      </w:r>
    </w:p>
    <w:p w:rsidR="000D3C12" w:rsidRPr="00E048D2" w:rsidRDefault="000D3C12" w:rsidP="000D3C12">
      <w:pPr>
        <w:jc w:val="both"/>
        <w:rPr>
          <w:sz w:val="18"/>
          <w:szCs w:val="18"/>
          <w:lang w:eastAsia="en-US"/>
        </w:rPr>
      </w:pPr>
    </w:p>
    <w:p w:rsidR="000D3C12" w:rsidRDefault="000D3C12" w:rsidP="000D3C12">
      <w:pPr>
        <w:jc w:val="both"/>
        <w:rPr>
          <w:sz w:val="18"/>
          <w:szCs w:val="18"/>
          <w:lang w:eastAsia="en-US"/>
        </w:rPr>
      </w:pPr>
      <w:r w:rsidRPr="00E048D2">
        <w:rPr>
          <w:sz w:val="18"/>
          <w:szCs w:val="18"/>
          <w:lang w:eastAsia="en-US"/>
        </w:rPr>
        <w:t xml:space="preserve">Benzer şekilde model sonuçlarına göre beklenen hasarın en yüksek olduğu İl Bölge 1 ve araç yaş (0-3) kategorisinde riskin de yüksek olduğu görülmüştür. Bu sonuçlara göre, kullanılan veri seti için model parametre tahminleri ile risk ölçümü sonuçlarının paralellik gösterdiği söylenebilir. </w:t>
      </w:r>
    </w:p>
    <w:p w:rsidR="003218C1" w:rsidRPr="00E048D2" w:rsidRDefault="003218C1" w:rsidP="000D3C12">
      <w:pPr>
        <w:jc w:val="both"/>
        <w:rPr>
          <w:sz w:val="18"/>
          <w:szCs w:val="18"/>
          <w:lang w:eastAsia="en-US"/>
        </w:rPr>
      </w:pPr>
    </w:p>
    <w:p w:rsidR="000D3C12" w:rsidRDefault="005A0597" w:rsidP="000D3C12">
      <w:pPr>
        <w:jc w:val="both"/>
        <w:rPr>
          <w:sz w:val="18"/>
          <w:szCs w:val="18"/>
          <w:lang w:eastAsia="en-US"/>
        </w:rPr>
      </w:pPr>
      <w:r>
        <w:rPr>
          <w:sz w:val="18"/>
          <w:szCs w:val="18"/>
          <w:lang w:eastAsia="en-US"/>
        </w:rPr>
        <w:t>İl Bölge 3 ve 18-35</w:t>
      </w:r>
      <w:r w:rsidR="000D3C12" w:rsidRPr="00E048D2">
        <w:rPr>
          <w:sz w:val="18"/>
          <w:szCs w:val="18"/>
          <w:lang w:eastAsia="en-US"/>
        </w:rPr>
        <w:t xml:space="preserve"> sigortalı yaşı için risk ölçümleri sonuçlarına bakıldığında, BK yönteminin uzun kuyruklu dağılımlarda kuyruk kısmını dikkate aldığı, RMD yönteminin ise göz ardı ettiği görülmüştür. Bu nedenle</w:t>
      </w:r>
      <w:r w:rsidR="003218C1">
        <w:rPr>
          <w:sz w:val="18"/>
          <w:szCs w:val="18"/>
          <w:lang w:eastAsia="en-US"/>
        </w:rPr>
        <w:t>,</w:t>
      </w:r>
      <w:r>
        <w:rPr>
          <w:sz w:val="18"/>
          <w:szCs w:val="18"/>
          <w:lang w:eastAsia="en-US"/>
        </w:rPr>
        <w:t xml:space="preserve"> genellikle sağa çarpık dağılım</w:t>
      </w:r>
      <w:r w:rsidR="000D3C12" w:rsidRPr="00E048D2">
        <w:rPr>
          <w:sz w:val="18"/>
          <w:szCs w:val="18"/>
          <w:lang w:eastAsia="en-US"/>
        </w:rPr>
        <w:t xml:space="preserve"> gösteren sigorta hasar tutarı vey</w:t>
      </w:r>
      <w:r w:rsidR="003218C1">
        <w:rPr>
          <w:sz w:val="18"/>
          <w:szCs w:val="18"/>
          <w:lang w:eastAsia="en-US"/>
        </w:rPr>
        <w:t xml:space="preserve">a hasar şiddetinin </w:t>
      </w:r>
      <w:r w:rsidR="000D3C12" w:rsidRPr="00E048D2">
        <w:rPr>
          <w:sz w:val="18"/>
          <w:szCs w:val="18"/>
          <w:lang w:eastAsia="en-US"/>
        </w:rPr>
        <w:t xml:space="preserve">risk ölçümünde Beklenen Kayıp yönteminin kullanılmasının daha uygun olduğu düşünülmektedir. </w:t>
      </w:r>
    </w:p>
    <w:p w:rsidR="000D3C12" w:rsidRPr="00E048D2" w:rsidRDefault="000D3C12" w:rsidP="000D3C12">
      <w:pPr>
        <w:jc w:val="both"/>
        <w:rPr>
          <w:sz w:val="18"/>
          <w:szCs w:val="18"/>
          <w:lang w:eastAsia="en-US"/>
        </w:rPr>
      </w:pPr>
    </w:p>
    <w:p w:rsidR="000D3C12" w:rsidRDefault="000D3C12" w:rsidP="000D3C12">
      <w:pPr>
        <w:jc w:val="both"/>
        <w:rPr>
          <w:sz w:val="18"/>
          <w:szCs w:val="18"/>
          <w:lang w:eastAsia="en-US"/>
        </w:rPr>
      </w:pPr>
    </w:p>
    <w:p w:rsidR="009C0FE2" w:rsidRPr="00E048D2" w:rsidRDefault="009C0FE2" w:rsidP="000D3C12">
      <w:pPr>
        <w:jc w:val="both"/>
        <w:rPr>
          <w:sz w:val="18"/>
          <w:szCs w:val="18"/>
          <w:lang w:eastAsia="en-US"/>
        </w:rPr>
      </w:pPr>
    </w:p>
    <w:p w:rsidR="000D3C12" w:rsidRPr="00E048D2" w:rsidRDefault="000D3C12" w:rsidP="000D3C12">
      <w:pPr>
        <w:jc w:val="both"/>
        <w:rPr>
          <w:b/>
          <w:sz w:val="18"/>
          <w:szCs w:val="18"/>
        </w:rPr>
      </w:pPr>
      <w:r w:rsidRPr="00E048D2">
        <w:rPr>
          <w:b/>
          <w:sz w:val="18"/>
          <w:szCs w:val="18"/>
        </w:rPr>
        <w:lastRenderedPageBreak/>
        <w:t xml:space="preserve">KAYNAKLAR </w:t>
      </w:r>
    </w:p>
    <w:p w:rsidR="000D3C12" w:rsidRPr="00E048D2" w:rsidRDefault="000D3C12" w:rsidP="000D3C12">
      <w:pPr>
        <w:jc w:val="both"/>
        <w:rPr>
          <w:b/>
          <w:sz w:val="18"/>
          <w:szCs w:val="18"/>
        </w:rPr>
      </w:pPr>
    </w:p>
    <w:p w:rsidR="000D3C12" w:rsidRPr="00E048D2" w:rsidRDefault="000D3C12" w:rsidP="000D3C12">
      <w:pPr>
        <w:autoSpaceDE w:val="0"/>
        <w:autoSpaceDN w:val="0"/>
        <w:adjustRightInd w:val="0"/>
        <w:jc w:val="both"/>
        <w:rPr>
          <w:sz w:val="18"/>
          <w:szCs w:val="18"/>
        </w:rPr>
      </w:pPr>
      <w:r w:rsidRPr="00E048D2">
        <w:rPr>
          <w:sz w:val="18"/>
          <w:szCs w:val="18"/>
        </w:rPr>
        <w:t>[1] Ohlsson, E., Johansson, B, “Non-Life Insurance Pricing with Generalized Linear Models”, Springer-Verlag, Berlin, 2010.</w:t>
      </w:r>
    </w:p>
    <w:p w:rsidR="000D3C12" w:rsidRPr="00E048D2" w:rsidRDefault="000D3C12" w:rsidP="000D3C12">
      <w:pPr>
        <w:autoSpaceDE w:val="0"/>
        <w:autoSpaceDN w:val="0"/>
        <w:adjustRightInd w:val="0"/>
        <w:jc w:val="both"/>
        <w:rPr>
          <w:sz w:val="18"/>
          <w:szCs w:val="18"/>
        </w:rPr>
      </w:pPr>
    </w:p>
    <w:p w:rsidR="000D3C12" w:rsidRPr="00E048D2" w:rsidRDefault="000D3C12" w:rsidP="000D3C12">
      <w:pPr>
        <w:jc w:val="both"/>
        <w:rPr>
          <w:sz w:val="18"/>
          <w:szCs w:val="18"/>
        </w:rPr>
      </w:pPr>
      <w:r w:rsidRPr="00E048D2">
        <w:rPr>
          <w:sz w:val="18"/>
          <w:szCs w:val="18"/>
        </w:rPr>
        <w:t>[2] Karabey U., “Risk Measures and Risk Capital Allocation”, İstatistikçiler Dergisi 5 (2012) 32-42, 2012.</w:t>
      </w:r>
    </w:p>
    <w:p w:rsidR="000D3C12" w:rsidRPr="00E048D2" w:rsidRDefault="000D3C12" w:rsidP="000D3C12">
      <w:pPr>
        <w:jc w:val="both"/>
        <w:rPr>
          <w:sz w:val="18"/>
          <w:szCs w:val="18"/>
        </w:rPr>
      </w:pPr>
    </w:p>
    <w:p w:rsidR="000D3C12" w:rsidRPr="00E048D2" w:rsidRDefault="000D3C12" w:rsidP="000D3C12">
      <w:pPr>
        <w:autoSpaceDE w:val="0"/>
        <w:autoSpaceDN w:val="0"/>
        <w:adjustRightInd w:val="0"/>
        <w:jc w:val="both"/>
        <w:rPr>
          <w:sz w:val="18"/>
          <w:szCs w:val="18"/>
        </w:rPr>
      </w:pPr>
      <w:r w:rsidRPr="00E048D2">
        <w:rPr>
          <w:sz w:val="18"/>
          <w:szCs w:val="18"/>
        </w:rPr>
        <w:t>[3] Artzner P.,</w:t>
      </w:r>
      <w:r w:rsidR="00002814">
        <w:rPr>
          <w:sz w:val="18"/>
          <w:szCs w:val="18"/>
        </w:rPr>
        <w:t>Delbaen F., Eber J. M.</w:t>
      </w:r>
      <w:r w:rsidR="00136F6C">
        <w:rPr>
          <w:sz w:val="18"/>
          <w:szCs w:val="18"/>
        </w:rPr>
        <w:t>, Heath D</w:t>
      </w:r>
      <w:r w:rsidR="00002814">
        <w:rPr>
          <w:sz w:val="18"/>
          <w:szCs w:val="18"/>
        </w:rPr>
        <w:t>.,</w:t>
      </w:r>
      <w:r w:rsidRPr="00E048D2">
        <w:rPr>
          <w:sz w:val="18"/>
          <w:szCs w:val="18"/>
        </w:rPr>
        <w:t xml:space="preserve"> “Coherent Measures of Risk”, Mathematical Finance, 9-3: 203-228,1999.</w:t>
      </w:r>
    </w:p>
    <w:p w:rsidR="000D3C12" w:rsidRPr="00E048D2" w:rsidRDefault="000D3C12" w:rsidP="000D3C12">
      <w:pPr>
        <w:jc w:val="both"/>
        <w:rPr>
          <w:sz w:val="18"/>
          <w:szCs w:val="18"/>
        </w:rPr>
      </w:pPr>
    </w:p>
    <w:p w:rsidR="000D3C12" w:rsidRPr="00E048D2" w:rsidRDefault="000D3C12" w:rsidP="000D3C12">
      <w:pPr>
        <w:jc w:val="both"/>
        <w:rPr>
          <w:sz w:val="18"/>
          <w:szCs w:val="18"/>
        </w:rPr>
      </w:pPr>
      <w:r w:rsidRPr="00E048D2">
        <w:rPr>
          <w:sz w:val="18"/>
          <w:szCs w:val="18"/>
        </w:rPr>
        <w:t>[4] McCullagh, P., Nelder, J.A., “Generalized Linear Models”, Chapman and Hall, London, 1989.</w:t>
      </w:r>
    </w:p>
    <w:p w:rsidR="000D3C12" w:rsidRPr="00E048D2" w:rsidRDefault="000D3C12" w:rsidP="000D3C12">
      <w:pPr>
        <w:jc w:val="both"/>
        <w:rPr>
          <w:sz w:val="18"/>
          <w:szCs w:val="18"/>
        </w:rPr>
      </w:pPr>
    </w:p>
    <w:p w:rsidR="000D3C12" w:rsidRPr="00E048D2" w:rsidRDefault="000D3C12" w:rsidP="000D3C12">
      <w:pPr>
        <w:jc w:val="both"/>
        <w:rPr>
          <w:sz w:val="18"/>
          <w:szCs w:val="18"/>
        </w:rPr>
      </w:pPr>
      <w:r w:rsidRPr="00E048D2">
        <w:rPr>
          <w:sz w:val="18"/>
          <w:szCs w:val="18"/>
        </w:rPr>
        <w:t>[5] Kaas, R., Goovaerts M., Dhaene J., Denuit M., “Modern Actuarial Risk Theory: Using R”, Springer Verlag Inc., Berlin, 2008.</w:t>
      </w:r>
    </w:p>
    <w:p w:rsidR="000D3C12" w:rsidRPr="00E048D2" w:rsidRDefault="000D3C12" w:rsidP="000D3C12">
      <w:pPr>
        <w:autoSpaceDE w:val="0"/>
        <w:autoSpaceDN w:val="0"/>
        <w:adjustRightInd w:val="0"/>
        <w:jc w:val="both"/>
        <w:rPr>
          <w:sz w:val="18"/>
          <w:szCs w:val="18"/>
        </w:rPr>
      </w:pPr>
    </w:p>
    <w:p w:rsidR="000D3C12" w:rsidRPr="00E048D2" w:rsidRDefault="000D3C12" w:rsidP="000D3C12">
      <w:pPr>
        <w:jc w:val="both"/>
        <w:rPr>
          <w:sz w:val="18"/>
          <w:szCs w:val="18"/>
        </w:rPr>
      </w:pPr>
      <w:r w:rsidRPr="00E048D2">
        <w:rPr>
          <w:sz w:val="18"/>
          <w:szCs w:val="18"/>
        </w:rPr>
        <w:t xml:space="preserve">[6] De Jong, P., Heller G.Z., “Generalized Linear Models for Insurance Data”, Cambridge University Press, London, 2008. </w:t>
      </w:r>
    </w:p>
    <w:p w:rsidR="000D3C12" w:rsidRPr="00E048D2" w:rsidRDefault="000D3C12" w:rsidP="000D3C12">
      <w:pPr>
        <w:jc w:val="both"/>
        <w:rPr>
          <w:sz w:val="18"/>
          <w:szCs w:val="18"/>
        </w:rPr>
      </w:pPr>
    </w:p>
    <w:p w:rsidR="000D3C12" w:rsidRPr="00E048D2" w:rsidRDefault="000D3C12" w:rsidP="000D3C12">
      <w:pPr>
        <w:jc w:val="both"/>
        <w:rPr>
          <w:sz w:val="18"/>
          <w:szCs w:val="18"/>
        </w:rPr>
      </w:pPr>
      <w:r w:rsidRPr="00E048D2">
        <w:rPr>
          <w:sz w:val="18"/>
          <w:szCs w:val="18"/>
        </w:rPr>
        <w:t>[7] Hardy M. R., “An Introduction to Risk Measures for Actuarial Applications”, Education and Examination Committee of SOA, Construction and Evaluation of Actuarial Models Study Note, 2006.</w:t>
      </w:r>
    </w:p>
    <w:p w:rsidR="000D3C12" w:rsidRPr="00E048D2" w:rsidRDefault="000D3C12" w:rsidP="000D3C12">
      <w:pPr>
        <w:jc w:val="both"/>
        <w:rPr>
          <w:sz w:val="18"/>
          <w:szCs w:val="18"/>
        </w:rPr>
      </w:pPr>
    </w:p>
    <w:p w:rsidR="000D3C12" w:rsidRDefault="000D3C12" w:rsidP="000D3C12">
      <w:pPr>
        <w:jc w:val="both"/>
        <w:rPr>
          <w:sz w:val="18"/>
          <w:szCs w:val="18"/>
        </w:rPr>
      </w:pPr>
      <w:r w:rsidRPr="00E048D2">
        <w:rPr>
          <w:sz w:val="18"/>
          <w:szCs w:val="18"/>
        </w:rPr>
        <w:t>[8] McNeil AJ, Frey R and Embrechts P,”Quantitative Risk Management: Concepts, Techniques and Tools”, Princeton University Press, 2005.</w:t>
      </w:r>
    </w:p>
    <w:p w:rsidR="000D3C12" w:rsidRDefault="000D3C12" w:rsidP="000D3C12">
      <w:pPr>
        <w:jc w:val="both"/>
        <w:rPr>
          <w:sz w:val="18"/>
          <w:szCs w:val="18"/>
        </w:rPr>
      </w:pPr>
    </w:p>
    <w:p w:rsidR="000D3C12" w:rsidRPr="00E048D2" w:rsidRDefault="000D3C12" w:rsidP="000D3C12">
      <w:pPr>
        <w:jc w:val="both"/>
        <w:rPr>
          <w:sz w:val="18"/>
          <w:szCs w:val="18"/>
        </w:rPr>
      </w:pPr>
      <w:r>
        <w:rPr>
          <w:sz w:val="18"/>
          <w:szCs w:val="18"/>
        </w:rPr>
        <w:t xml:space="preserve">[9] </w:t>
      </w:r>
      <w:r w:rsidRPr="009F7A82">
        <w:rPr>
          <w:sz w:val="18"/>
          <w:szCs w:val="18"/>
        </w:rPr>
        <w:t>Artzner</w:t>
      </w:r>
      <w:r>
        <w:rPr>
          <w:sz w:val="18"/>
          <w:szCs w:val="18"/>
        </w:rPr>
        <w:t xml:space="preserve"> P., </w:t>
      </w:r>
      <w:r w:rsidRPr="009F7A82">
        <w:rPr>
          <w:sz w:val="18"/>
          <w:szCs w:val="18"/>
        </w:rPr>
        <w:t>Delbaen</w:t>
      </w:r>
      <w:r>
        <w:rPr>
          <w:sz w:val="18"/>
          <w:szCs w:val="18"/>
        </w:rPr>
        <w:t xml:space="preserve"> F.</w:t>
      </w:r>
      <w:r w:rsidRPr="009F7A82">
        <w:rPr>
          <w:sz w:val="18"/>
          <w:szCs w:val="18"/>
        </w:rPr>
        <w:t>, Eber</w:t>
      </w:r>
      <w:r>
        <w:rPr>
          <w:sz w:val="18"/>
          <w:szCs w:val="18"/>
        </w:rPr>
        <w:t xml:space="preserve"> </w:t>
      </w:r>
      <w:r w:rsidRPr="009F7A82">
        <w:rPr>
          <w:sz w:val="18"/>
          <w:szCs w:val="18"/>
        </w:rPr>
        <w:t>J.M.</w:t>
      </w:r>
      <w:r w:rsidR="00136F6C">
        <w:rPr>
          <w:sz w:val="18"/>
          <w:szCs w:val="18"/>
        </w:rPr>
        <w:t xml:space="preserve">, </w:t>
      </w:r>
      <w:r w:rsidR="00136F6C">
        <w:rPr>
          <w:sz w:val="18"/>
          <w:szCs w:val="18"/>
        </w:rPr>
        <w:t>Heath D</w:t>
      </w:r>
      <w:r w:rsidR="00136F6C">
        <w:rPr>
          <w:sz w:val="18"/>
          <w:szCs w:val="18"/>
        </w:rPr>
        <w:t>.</w:t>
      </w:r>
      <w:r w:rsidRPr="009F7A82">
        <w:rPr>
          <w:sz w:val="18"/>
          <w:szCs w:val="18"/>
        </w:rPr>
        <w:t>,</w:t>
      </w:r>
      <w:r>
        <w:rPr>
          <w:sz w:val="18"/>
          <w:szCs w:val="18"/>
        </w:rPr>
        <w:t>”</w:t>
      </w:r>
      <w:r w:rsidR="00002814">
        <w:rPr>
          <w:sz w:val="18"/>
          <w:szCs w:val="18"/>
        </w:rPr>
        <w:t xml:space="preserve"> Thinking C</w:t>
      </w:r>
      <w:r w:rsidRPr="009F7A82">
        <w:rPr>
          <w:sz w:val="18"/>
          <w:szCs w:val="18"/>
        </w:rPr>
        <w:t>oherently</w:t>
      </w:r>
      <w:r>
        <w:rPr>
          <w:sz w:val="18"/>
          <w:szCs w:val="18"/>
        </w:rPr>
        <w:t>”,</w:t>
      </w:r>
      <w:r w:rsidRPr="009F7A82">
        <w:rPr>
          <w:sz w:val="18"/>
          <w:szCs w:val="18"/>
        </w:rPr>
        <w:t xml:space="preserve"> RISK, 10:68-71</w:t>
      </w:r>
      <w:r>
        <w:rPr>
          <w:sz w:val="18"/>
          <w:szCs w:val="18"/>
        </w:rPr>
        <w:t>,</w:t>
      </w:r>
      <w:r w:rsidRPr="009F7A82">
        <w:rPr>
          <w:sz w:val="18"/>
          <w:szCs w:val="18"/>
        </w:rPr>
        <w:t xml:space="preserve"> </w:t>
      </w:r>
      <w:r>
        <w:rPr>
          <w:sz w:val="18"/>
          <w:szCs w:val="18"/>
        </w:rPr>
        <w:t>1997</w:t>
      </w:r>
      <w:r w:rsidRPr="009F7A82">
        <w:rPr>
          <w:sz w:val="18"/>
          <w:szCs w:val="18"/>
        </w:rPr>
        <w:t xml:space="preserve">. </w:t>
      </w:r>
      <w:r w:rsidRPr="009F7A82">
        <w:rPr>
          <w:sz w:val="18"/>
          <w:szCs w:val="18"/>
        </w:rPr>
        <w:cr/>
      </w:r>
    </w:p>
    <w:p w:rsidR="000D3C12" w:rsidRPr="00E048D2" w:rsidRDefault="000D3C12" w:rsidP="000D3C12">
      <w:pPr>
        <w:jc w:val="both"/>
        <w:rPr>
          <w:sz w:val="18"/>
          <w:szCs w:val="18"/>
        </w:rPr>
      </w:pPr>
      <w:r w:rsidRPr="00E048D2">
        <w:rPr>
          <w:sz w:val="18"/>
          <w:szCs w:val="18"/>
        </w:rPr>
        <w:t>[</w:t>
      </w:r>
      <w:r>
        <w:rPr>
          <w:sz w:val="18"/>
          <w:szCs w:val="18"/>
        </w:rPr>
        <w:t>10</w:t>
      </w:r>
      <w:r w:rsidRPr="00E048D2">
        <w:rPr>
          <w:sz w:val="18"/>
          <w:szCs w:val="18"/>
        </w:rPr>
        <w:t xml:space="preserve">] “Karayolları Motorlu Araçlar Zorunlu Mali Sorumluluk Sigortası Genel Şartları”, T.C. Resmi Gazete, 25197, 12 Ağustos 2003. </w:t>
      </w:r>
    </w:p>
    <w:p w:rsidR="000D3C12" w:rsidRPr="00E048D2" w:rsidRDefault="000D3C12" w:rsidP="000D3C12">
      <w:pPr>
        <w:jc w:val="both"/>
        <w:rPr>
          <w:sz w:val="18"/>
          <w:szCs w:val="18"/>
        </w:rPr>
      </w:pPr>
    </w:p>
    <w:p w:rsidR="000D3C12" w:rsidRPr="00E048D2" w:rsidRDefault="000D3C12" w:rsidP="000D3C12">
      <w:pPr>
        <w:autoSpaceDE w:val="0"/>
        <w:autoSpaceDN w:val="0"/>
        <w:adjustRightInd w:val="0"/>
        <w:jc w:val="both"/>
        <w:rPr>
          <w:sz w:val="18"/>
          <w:szCs w:val="18"/>
        </w:rPr>
      </w:pPr>
      <w:r w:rsidRPr="00E048D2">
        <w:rPr>
          <w:sz w:val="18"/>
          <w:szCs w:val="18"/>
        </w:rPr>
        <w:t>[</w:t>
      </w:r>
      <w:r>
        <w:rPr>
          <w:sz w:val="18"/>
          <w:szCs w:val="18"/>
        </w:rPr>
        <w:t>11</w:t>
      </w:r>
      <w:r w:rsidRPr="00E048D2">
        <w:rPr>
          <w:sz w:val="18"/>
          <w:szCs w:val="18"/>
        </w:rPr>
        <w:t xml:space="preserve">] Brockman, M. J., Wright, T. S.,“Statistical </w:t>
      </w:r>
      <w:r w:rsidR="00002814">
        <w:rPr>
          <w:sz w:val="18"/>
          <w:szCs w:val="18"/>
        </w:rPr>
        <w:t>Model Rating: Making E</w:t>
      </w:r>
      <w:r w:rsidRPr="00E048D2">
        <w:rPr>
          <w:sz w:val="18"/>
          <w:szCs w:val="18"/>
        </w:rPr>
        <w:t xml:space="preserve">ffective </w:t>
      </w:r>
      <w:r w:rsidR="00002814">
        <w:rPr>
          <w:sz w:val="18"/>
          <w:szCs w:val="18"/>
        </w:rPr>
        <w:t>Use of Your D</w:t>
      </w:r>
      <w:r w:rsidRPr="00E048D2">
        <w:rPr>
          <w:sz w:val="18"/>
          <w:szCs w:val="18"/>
        </w:rPr>
        <w:t>ata”, Journal of the Institute of Actuaries 119, 457, 1992.</w:t>
      </w:r>
    </w:p>
    <w:p w:rsidR="000D3C12" w:rsidRPr="00E048D2" w:rsidRDefault="000D3C12" w:rsidP="000D3C12">
      <w:pPr>
        <w:jc w:val="both"/>
        <w:rPr>
          <w:sz w:val="18"/>
          <w:szCs w:val="18"/>
        </w:rPr>
      </w:pPr>
    </w:p>
    <w:p w:rsidR="000D3C12" w:rsidRPr="00E048D2" w:rsidRDefault="000D3C12" w:rsidP="000D3C12">
      <w:pPr>
        <w:jc w:val="both"/>
        <w:rPr>
          <w:sz w:val="18"/>
          <w:szCs w:val="18"/>
        </w:rPr>
      </w:pPr>
      <w:r w:rsidRPr="00E048D2">
        <w:rPr>
          <w:sz w:val="18"/>
          <w:szCs w:val="18"/>
        </w:rPr>
        <w:t>[</w:t>
      </w:r>
      <w:r>
        <w:rPr>
          <w:sz w:val="18"/>
          <w:szCs w:val="18"/>
        </w:rPr>
        <w:t>12</w:t>
      </w:r>
      <w:r w:rsidRPr="00E048D2">
        <w:rPr>
          <w:sz w:val="18"/>
          <w:szCs w:val="18"/>
        </w:rPr>
        <w:t>] Fu L., Moncher R. B., “Severity Distributions for GLMs, Gamma or Lognormal? Evidence from Monte Carlo Simulations”, Casualty Actuarial Society Discussion Paper,Arlington,Virginia, 2004.</w:t>
      </w:r>
    </w:p>
    <w:p w:rsidR="000D3C12" w:rsidRPr="00E048D2" w:rsidRDefault="000D3C12" w:rsidP="000D3C12">
      <w:pPr>
        <w:jc w:val="both"/>
        <w:rPr>
          <w:sz w:val="18"/>
          <w:szCs w:val="18"/>
        </w:rPr>
      </w:pPr>
    </w:p>
    <w:p w:rsidR="000D3C12" w:rsidRPr="00E048D2" w:rsidRDefault="000D3C12" w:rsidP="000D3C12">
      <w:pPr>
        <w:autoSpaceDE w:val="0"/>
        <w:autoSpaceDN w:val="0"/>
        <w:adjustRightInd w:val="0"/>
        <w:jc w:val="both"/>
        <w:rPr>
          <w:sz w:val="18"/>
          <w:szCs w:val="18"/>
        </w:rPr>
      </w:pPr>
      <w:r>
        <w:rPr>
          <w:sz w:val="18"/>
          <w:szCs w:val="18"/>
        </w:rPr>
        <w:t>[13</w:t>
      </w:r>
      <w:r w:rsidRPr="00E048D2">
        <w:rPr>
          <w:sz w:val="18"/>
          <w:szCs w:val="18"/>
        </w:rPr>
        <w:t>] Mildenhall, S.,J., “Systematic Relationship Between Minimum Bias and Generalized Linear Models”, PCAS LXXXVI,393-487,1999.</w:t>
      </w:r>
    </w:p>
    <w:p w:rsidR="000D3C12" w:rsidRPr="00E048D2" w:rsidRDefault="000D3C12" w:rsidP="000D3C12">
      <w:pPr>
        <w:autoSpaceDE w:val="0"/>
        <w:autoSpaceDN w:val="0"/>
        <w:adjustRightInd w:val="0"/>
        <w:jc w:val="both"/>
        <w:rPr>
          <w:sz w:val="18"/>
          <w:szCs w:val="18"/>
        </w:rPr>
      </w:pPr>
    </w:p>
    <w:p w:rsidR="000D3C12" w:rsidRPr="00E048D2" w:rsidRDefault="000D3C12" w:rsidP="000D3C12">
      <w:pPr>
        <w:jc w:val="both"/>
      </w:pPr>
    </w:p>
    <w:p w:rsidR="009D0F6B" w:rsidRPr="00285235" w:rsidRDefault="009D0F6B" w:rsidP="006E063B">
      <w:pPr>
        <w:autoSpaceDE w:val="0"/>
        <w:autoSpaceDN w:val="0"/>
        <w:adjustRightInd w:val="0"/>
        <w:jc w:val="both"/>
        <w:rPr>
          <w:sz w:val="18"/>
          <w:szCs w:val="18"/>
        </w:rPr>
      </w:pPr>
    </w:p>
    <w:p w:rsidR="004137CC" w:rsidRDefault="004137CC" w:rsidP="006E063B">
      <w:pPr>
        <w:jc w:val="both"/>
      </w:pPr>
    </w:p>
    <w:sectPr w:rsidR="004137CC" w:rsidSect="000D3C12">
      <w:footerReference w:type="default" r:id="rId23"/>
      <w:pgSz w:w="11906" w:h="16838"/>
      <w:pgMar w:top="3005" w:right="2381" w:bottom="3005"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59" w:rsidRDefault="00511359" w:rsidP="008B443E">
      <w:r>
        <w:separator/>
      </w:r>
    </w:p>
  </w:endnote>
  <w:endnote w:type="continuationSeparator" w:id="0">
    <w:p w:rsidR="00511359" w:rsidRDefault="00511359" w:rsidP="008B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93016"/>
      <w:docPartObj>
        <w:docPartGallery w:val="Page Numbers (Bottom of Page)"/>
        <w:docPartUnique/>
      </w:docPartObj>
    </w:sdtPr>
    <w:sdtEndPr>
      <w:rPr>
        <w:noProof/>
      </w:rPr>
    </w:sdtEndPr>
    <w:sdtContent>
      <w:p w:rsidR="008B443E" w:rsidRDefault="008B443E">
        <w:pPr>
          <w:pStyle w:val="Footer"/>
          <w:jc w:val="right"/>
        </w:pPr>
        <w:r>
          <w:fldChar w:fldCharType="begin"/>
        </w:r>
        <w:r>
          <w:instrText xml:space="preserve"> PAGE   \* MERGEFORMAT </w:instrText>
        </w:r>
        <w:r>
          <w:fldChar w:fldCharType="separate"/>
        </w:r>
        <w:r w:rsidR="005E7DA0">
          <w:rPr>
            <w:noProof/>
          </w:rPr>
          <w:t>5</w:t>
        </w:r>
        <w:r>
          <w:rPr>
            <w:noProof/>
          </w:rPr>
          <w:fldChar w:fldCharType="end"/>
        </w:r>
      </w:p>
    </w:sdtContent>
  </w:sdt>
  <w:p w:rsidR="008B443E" w:rsidRDefault="008B4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59" w:rsidRDefault="00511359" w:rsidP="008B443E">
      <w:r>
        <w:separator/>
      </w:r>
    </w:p>
  </w:footnote>
  <w:footnote w:type="continuationSeparator" w:id="0">
    <w:p w:rsidR="00511359" w:rsidRDefault="00511359" w:rsidP="008B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2674"/>
    <w:multiLevelType w:val="hybridMultilevel"/>
    <w:tmpl w:val="F0BCE2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4061BD"/>
    <w:multiLevelType w:val="hybridMultilevel"/>
    <w:tmpl w:val="A1EEB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BB5E38"/>
    <w:multiLevelType w:val="hybridMultilevel"/>
    <w:tmpl w:val="B6AC920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FD37E0"/>
    <w:multiLevelType w:val="hybridMultilevel"/>
    <w:tmpl w:val="182E1526"/>
    <w:lvl w:ilvl="0" w:tplc="C144E70C">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E6154EF"/>
    <w:multiLevelType w:val="hybridMultilevel"/>
    <w:tmpl w:val="53C63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CC"/>
    <w:rsid w:val="00002814"/>
    <w:rsid w:val="00023E7D"/>
    <w:rsid w:val="000374B1"/>
    <w:rsid w:val="00073545"/>
    <w:rsid w:val="000D3C12"/>
    <w:rsid w:val="000E4155"/>
    <w:rsid w:val="00136F6C"/>
    <w:rsid w:val="001A68A8"/>
    <w:rsid w:val="002031B6"/>
    <w:rsid w:val="00275D67"/>
    <w:rsid w:val="00284AE3"/>
    <w:rsid w:val="002E4897"/>
    <w:rsid w:val="003218C1"/>
    <w:rsid w:val="004137CC"/>
    <w:rsid w:val="005045BD"/>
    <w:rsid w:val="00511359"/>
    <w:rsid w:val="005A0597"/>
    <w:rsid w:val="005E7DA0"/>
    <w:rsid w:val="006517E8"/>
    <w:rsid w:val="006B63D3"/>
    <w:rsid w:val="006E063B"/>
    <w:rsid w:val="00706738"/>
    <w:rsid w:val="007564C5"/>
    <w:rsid w:val="008B443E"/>
    <w:rsid w:val="00913D47"/>
    <w:rsid w:val="00974711"/>
    <w:rsid w:val="009A5320"/>
    <w:rsid w:val="009C0FE2"/>
    <w:rsid w:val="009D0F6B"/>
    <w:rsid w:val="00A56150"/>
    <w:rsid w:val="00A871FD"/>
    <w:rsid w:val="00A97AE9"/>
    <w:rsid w:val="00B375E0"/>
    <w:rsid w:val="00BB39F0"/>
    <w:rsid w:val="00C75699"/>
    <w:rsid w:val="00CA4CC7"/>
    <w:rsid w:val="00E84ABB"/>
    <w:rsid w:val="00EF0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CC"/>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do not use"/>
    <w:basedOn w:val="Normal"/>
    <w:next w:val="Normal"/>
    <w:link w:val="Heading1Char"/>
    <w:qFormat/>
    <w:rsid w:val="00413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7CC"/>
    <w:pPr>
      <w:spacing w:line="360" w:lineRule="auto"/>
      <w:jc w:val="both"/>
    </w:pPr>
    <w:rPr>
      <w:rFonts w:ascii="Arial" w:hAnsi="Arial" w:cs="Arial"/>
    </w:rPr>
  </w:style>
  <w:style w:type="character" w:customStyle="1" w:styleId="BodyTextChar">
    <w:name w:val="Body Text Char"/>
    <w:basedOn w:val="DefaultParagraphFont"/>
    <w:link w:val="BodyText"/>
    <w:rsid w:val="004137CC"/>
    <w:rPr>
      <w:rFonts w:ascii="Arial" w:eastAsia="Times New Roman" w:hAnsi="Arial" w:cs="Arial"/>
      <w:sz w:val="24"/>
      <w:szCs w:val="24"/>
      <w:lang w:eastAsia="tr-TR"/>
    </w:rPr>
  </w:style>
  <w:style w:type="paragraph" w:customStyle="1" w:styleId="TezMetni">
    <w:name w:val="Tez Metni"/>
    <w:rsid w:val="004137CC"/>
    <w:pPr>
      <w:spacing w:after="240" w:line="360" w:lineRule="auto"/>
      <w:jc w:val="both"/>
    </w:pPr>
    <w:rPr>
      <w:rFonts w:ascii="Arial" w:eastAsia="Times New Roman" w:hAnsi="Arial" w:cs="Times New Roman"/>
      <w:sz w:val="24"/>
      <w:szCs w:val="20"/>
      <w:lang w:eastAsia="tr-TR"/>
    </w:rPr>
  </w:style>
  <w:style w:type="paragraph" w:styleId="Subtitle">
    <w:name w:val="Subtitle"/>
    <w:basedOn w:val="Normal"/>
    <w:next w:val="Normal"/>
    <w:link w:val="SubtitleChar"/>
    <w:qFormat/>
    <w:rsid w:val="004137CC"/>
    <w:pPr>
      <w:tabs>
        <w:tab w:val="num" w:pos="397"/>
      </w:tabs>
      <w:spacing w:after="120"/>
      <w:ind w:left="397" w:hanging="397"/>
      <w:outlineLvl w:val="1"/>
    </w:pPr>
    <w:rPr>
      <w:b/>
      <w:szCs w:val="20"/>
      <w:lang w:val="en-GB" w:eastAsia="en-US"/>
    </w:rPr>
  </w:style>
  <w:style w:type="character" w:customStyle="1" w:styleId="SubtitleChar">
    <w:name w:val="Subtitle Char"/>
    <w:basedOn w:val="DefaultParagraphFont"/>
    <w:link w:val="Subtitle"/>
    <w:rsid w:val="004137CC"/>
    <w:rPr>
      <w:rFonts w:ascii="Times New Roman" w:eastAsia="Times New Roman" w:hAnsi="Times New Roman" w:cs="Times New Roman"/>
      <w:b/>
      <w:sz w:val="24"/>
      <w:szCs w:val="20"/>
      <w:lang w:val="en-GB"/>
    </w:rPr>
  </w:style>
  <w:style w:type="paragraph" w:customStyle="1" w:styleId="ReferencesText">
    <w:name w:val="References Text"/>
    <w:basedOn w:val="Normal"/>
    <w:rsid w:val="004137CC"/>
    <w:pPr>
      <w:ind w:firstLine="567"/>
      <w:jc w:val="both"/>
    </w:pPr>
    <w:rPr>
      <w:szCs w:val="20"/>
      <w:lang w:val="en-GB" w:eastAsia="en-US"/>
    </w:rPr>
  </w:style>
  <w:style w:type="paragraph" w:styleId="BalloonText">
    <w:name w:val="Balloon Text"/>
    <w:basedOn w:val="Normal"/>
    <w:link w:val="BalloonTextChar"/>
    <w:uiPriority w:val="99"/>
    <w:semiHidden/>
    <w:unhideWhenUsed/>
    <w:rsid w:val="004137CC"/>
    <w:rPr>
      <w:rFonts w:ascii="Tahoma" w:hAnsi="Tahoma" w:cs="Tahoma"/>
      <w:sz w:val="16"/>
      <w:szCs w:val="16"/>
    </w:rPr>
  </w:style>
  <w:style w:type="character" w:customStyle="1" w:styleId="BalloonTextChar">
    <w:name w:val="Balloon Text Char"/>
    <w:basedOn w:val="DefaultParagraphFont"/>
    <w:link w:val="BalloonText"/>
    <w:uiPriority w:val="99"/>
    <w:semiHidden/>
    <w:rsid w:val="004137CC"/>
    <w:rPr>
      <w:rFonts w:ascii="Tahoma" w:eastAsia="Times New Roman" w:hAnsi="Tahoma" w:cs="Tahoma"/>
      <w:sz w:val="16"/>
      <w:szCs w:val="16"/>
      <w:lang w:eastAsia="tr-TR"/>
    </w:rPr>
  </w:style>
  <w:style w:type="character" w:customStyle="1" w:styleId="Heading1Char">
    <w:name w:val="Heading 1 Char"/>
    <w:aliases w:val="do not use Char"/>
    <w:basedOn w:val="DefaultParagraphFont"/>
    <w:link w:val="Heading1"/>
    <w:rsid w:val="004137CC"/>
    <w:rPr>
      <w:rFonts w:ascii="Times New Roman" w:eastAsia="Times New Roman" w:hAnsi="Times New Roman" w:cs="Times New Roman"/>
      <w:b/>
      <w:bCs/>
      <w:sz w:val="24"/>
      <w:szCs w:val="24"/>
      <w:lang w:eastAsia="tr-TR"/>
    </w:rPr>
  </w:style>
  <w:style w:type="paragraph" w:styleId="ListParagraph">
    <w:name w:val="List Paragraph"/>
    <w:basedOn w:val="Normal"/>
    <w:uiPriority w:val="34"/>
    <w:qFormat/>
    <w:rsid w:val="000D3C12"/>
    <w:pPr>
      <w:ind w:left="720"/>
      <w:contextualSpacing/>
    </w:pPr>
  </w:style>
  <w:style w:type="paragraph" w:styleId="Header">
    <w:name w:val="header"/>
    <w:basedOn w:val="Normal"/>
    <w:link w:val="HeaderChar"/>
    <w:uiPriority w:val="99"/>
    <w:unhideWhenUsed/>
    <w:rsid w:val="008B443E"/>
    <w:pPr>
      <w:tabs>
        <w:tab w:val="center" w:pos="4536"/>
        <w:tab w:val="right" w:pos="9072"/>
      </w:tabs>
    </w:pPr>
  </w:style>
  <w:style w:type="character" w:customStyle="1" w:styleId="HeaderChar">
    <w:name w:val="Header Char"/>
    <w:basedOn w:val="DefaultParagraphFont"/>
    <w:link w:val="Header"/>
    <w:uiPriority w:val="99"/>
    <w:rsid w:val="008B443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B443E"/>
    <w:pPr>
      <w:tabs>
        <w:tab w:val="center" w:pos="4536"/>
        <w:tab w:val="right" w:pos="9072"/>
      </w:tabs>
    </w:pPr>
  </w:style>
  <w:style w:type="character" w:customStyle="1" w:styleId="FooterChar">
    <w:name w:val="Footer Char"/>
    <w:basedOn w:val="DefaultParagraphFont"/>
    <w:link w:val="Footer"/>
    <w:uiPriority w:val="99"/>
    <w:rsid w:val="008B443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CC"/>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do not use"/>
    <w:basedOn w:val="Normal"/>
    <w:next w:val="Normal"/>
    <w:link w:val="Heading1Char"/>
    <w:qFormat/>
    <w:rsid w:val="00413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7CC"/>
    <w:pPr>
      <w:spacing w:line="360" w:lineRule="auto"/>
      <w:jc w:val="both"/>
    </w:pPr>
    <w:rPr>
      <w:rFonts w:ascii="Arial" w:hAnsi="Arial" w:cs="Arial"/>
    </w:rPr>
  </w:style>
  <w:style w:type="character" w:customStyle="1" w:styleId="BodyTextChar">
    <w:name w:val="Body Text Char"/>
    <w:basedOn w:val="DefaultParagraphFont"/>
    <w:link w:val="BodyText"/>
    <w:rsid w:val="004137CC"/>
    <w:rPr>
      <w:rFonts w:ascii="Arial" w:eastAsia="Times New Roman" w:hAnsi="Arial" w:cs="Arial"/>
      <w:sz w:val="24"/>
      <w:szCs w:val="24"/>
      <w:lang w:eastAsia="tr-TR"/>
    </w:rPr>
  </w:style>
  <w:style w:type="paragraph" w:customStyle="1" w:styleId="TezMetni">
    <w:name w:val="Tez Metni"/>
    <w:rsid w:val="004137CC"/>
    <w:pPr>
      <w:spacing w:after="240" w:line="360" w:lineRule="auto"/>
      <w:jc w:val="both"/>
    </w:pPr>
    <w:rPr>
      <w:rFonts w:ascii="Arial" w:eastAsia="Times New Roman" w:hAnsi="Arial" w:cs="Times New Roman"/>
      <w:sz w:val="24"/>
      <w:szCs w:val="20"/>
      <w:lang w:eastAsia="tr-TR"/>
    </w:rPr>
  </w:style>
  <w:style w:type="paragraph" w:styleId="Subtitle">
    <w:name w:val="Subtitle"/>
    <w:basedOn w:val="Normal"/>
    <w:next w:val="Normal"/>
    <w:link w:val="SubtitleChar"/>
    <w:qFormat/>
    <w:rsid w:val="004137CC"/>
    <w:pPr>
      <w:tabs>
        <w:tab w:val="num" w:pos="397"/>
      </w:tabs>
      <w:spacing w:after="120"/>
      <w:ind w:left="397" w:hanging="397"/>
      <w:outlineLvl w:val="1"/>
    </w:pPr>
    <w:rPr>
      <w:b/>
      <w:szCs w:val="20"/>
      <w:lang w:val="en-GB" w:eastAsia="en-US"/>
    </w:rPr>
  </w:style>
  <w:style w:type="character" w:customStyle="1" w:styleId="SubtitleChar">
    <w:name w:val="Subtitle Char"/>
    <w:basedOn w:val="DefaultParagraphFont"/>
    <w:link w:val="Subtitle"/>
    <w:rsid w:val="004137CC"/>
    <w:rPr>
      <w:rFonts w:ascii="Times New Roman" w:eastAsia="Times New Roman" w:hAnsi="Times New Roman" w:cs="Times New Roman"/>
      <w:b/>
      <w:sz w:val="24"/>
      <w:szCs w:val="20"/>
      <w:lang w:val="en-GB"/>
    </w:rPr>
  </w:style>
  <w:style w:type="paragraph" w:customStyle="1" w:styleId="ReferencesText">
    <w:name w:val="References Text"/>
    <w:basedOn w:val="Normal"/>
    <w:rsid w:val="004137CC"/>
    <w:pPr>
      <w:ind w:firstLine="567"/>
      <w:jc w:val="both"/>
    </w:pPr>
    <w:rPr>
      <w:szCs w:val="20"/>
      <w:lang w:val="en-GB" w:eastAsia="en-US"/>
    </w:rPr>
  </w:style>
  <w:style w:type="paragraph" w:styleId="BalloonText">
    <w:name w:val="Balloon Text"/>
    <w:basedOn w:val="Normal"/>
    <w:link w:val="BalloonTextChar"/>
    <w:uiPriority w:val="99"/>
    <w:semiHidden/>
    <w:unhideWhenUsed/>
    <w:rsid w:val="004137CC"/>
    <w:rPr>
      <w:rFonts w:ascii="Tahoma" w:hAnsi="Tahoma" w:cs="Tahoma"/>
      <w:sz w:val="16"/>
      <w:szCs w:val="16"/>
    </w:rPr>
  </w:style>
  <w:style w:type="character" w:customStyle="1" w:styleId="BalloonTextChar">
    <w:name w:val="Balloon Text Char"/>
    <w:basedOn w:val="DefaultParagraphFont"/>
    <w:link w:val="BalloonText"/>
    <w:uiPriority w:val="99"/>
    <w:semiHidden/>
    <w:rsid w:val="004137CC"/>
    <w:rPr>
      <w:rFonts w:ascii="Tahoma" w:eastAsia="Times New Roman" w:hAnsi="Tahoma" w:cs="Tahoma"/>
      <w:sz w:val="16"/>
      <w:szCs w:val="16"/>
      <w:lang w:eastAsia="tr-TR"/>
    </w:rPr>
  </w:style>
  <w:style w:type="character" w:customStyle="1" w:styleId="Heading1Char">
    <w:name w:val="Heading 1 Char"/>
    <w:aliases w:val="do not use Char"/>
    <w:basedOn w:val="DefaultParagraphFont"/>
    <w:link w:val="Heading1"/>
    <w:rsid w:val="004137CC"/>
    <w:rPr>
      <w:rFonts w:ascii="Times New Roman" w:eastAsia="Times New Roman" w:hAnsi="Times New Roman" w:cs="Times New Roman"/>
      <w:b/>
      <w:bCs/>
      <w:sz w:val="24"/>
      <w:szCs w:val="24"/>
      <w:lang w:eastAsia="tr-TR"/>
    </w:rPr>
  </w:style>
  <w:style w:type="paragraph" w:styleId="ListParagraph">
    <w:name w:val="List Paragraph"/>
    <w:basedOn w:val="Normal"/>
    <w:uiPriority w:val="34"/>
    <w:qFormat/>
    <w:rsid w:val="000D3C12"/>
    <w:pPr>
      <w:ind w:left="720"/>
      <w:contextualSpacing/>
    </w:pPr>
  </w:style>
  <w:style w:type="paragraph" w:styleId="Header">
    <w:name w:val="header"/>
    <w:basedOn w:val="Normal"/>
    <w:link w:val="HeaderChar"/>
    <w:uiPriority w:val="99"/>
    <w:unhideWhenUsed/>
    <w:rsid w:val="008B443E"/>
    <w:pPr>
      <w:tabs>
        <w:tab w:val="center" w:pos="4536"/>
        <w:tab w:val="right" w:pos="9072"/>
      </w:tabs>
    </w:pPr>
  </w:style>
  <w:style w:type="character" w:customStyle="1" w:styleId="HeaderChar">
    <w:name w:val="Header Char"/>
    <w:basedOn w:val="DefaultParagraphFont"/>
    <w:link w:val="Header"/>
    <w:uiPriority w:val="99"/>
    <w:rsid w:val="008B443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B443E"/>
    <w:pPr>
      <w:tabs>
        <w:tab w:val="center" w:pos="4536"/>
        <w:tab w:val="right" w:pos="9072"/>
      </w:tabs>
    </w:pPr>
  </w:style>
  <w:style w:type="character" w:customStyle="1" w:styleId="FooterChar">
    <w:name w:val="Footer Char"/>
    <w:basedOn w:val="DefaultParagraphFont"/>
    <w:link w:val="Footer"/>
    <w:uiPriority w:val="99"/>
    <w:rsid w:val="008B44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H:\tramer_variables_20052014\samos_data_2903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tr-TR" sz="1200"/>
              <a:t>Hasar</a:t>
            </a:r>
            <a:r>
              <a:rPr lang="tr-TR" sz="1200" baseline="0"/>
              <a:t> Tutarları</a:t>
            </a:r>
            <a:endParaRPr lang="tr-TR" sz="1200"/>
          </a:p>
        </c:rich>
      </c:tx>
      <c:layout>
        <c:manualLayout>
          <c:xMode val="edge"/>
          <c:yMode val="edge"/>
          <c:x val="0.31681255468066494"/>
          <c:y val="3.9748261013580657E-2"/>
        </c:manualLayout>
      </c:layout>
      <c:overlay val="0"/>
    </c:title>
    <c:autoTitleDeleted val="0"/>
    <c:plotArea>
      <c:layout>
        <c:manualLayout>
          <c:layoutTarget val="inner"/>
          <c:xMode val="edge"/>
          <c:yMode val="edge"/>
          <c:x val="0.11423840769903762"/>
          <c:y val="0.15696043030688231"/>
          <c:w val="0.85520603674540685"/>
          <c:h val="0.56301373658341969"/>
        </c:manualLayout>
      </c:layout>
      <c:barChart>
        <c:barDir val="col"/>
        <c:grouping val="clustered"/>
        <c:varyColors val="1"/>
        <c:ser>
          <c:idx val="0"/>
          <c:order val="0"/>
          <c:tx>
            <c:v>Frekans</c:v>
          </c:tx>
          <c:invertIfNegative val="1"/>
          <c:cat>
            <c:strRef>
              <c:f>maddi_makale_2005!$I$4:$I$20</c:f>
              <c:strCache>
                <c:ptCount val="17"/>
                <c:pt idx="0">
                  <c:v>200</c:v>
                </c:pt>
                <c:pt idx="1">
                  <c:v>500</c:v>
                </c:pt>
                <c:pt idx="2">
                  <c:v>750</c:v>
                </c:pt>
                <c:pt idx="3">
                  <c:v>1000</c:v>
                </c:pt>
                <c:pt idx="4">
                  <c:v>1200</c:v>
                </c:pt>
                <c:pt idx="5">
                  <c:v>1500</c:v>
                </c:pt>
                <c:pt idx="6">
                  <c:v>2000</c:v>
                </c:pt>
                <c:pt idx="7">
                  <c:v>2500</c:v>
                </c:pt>
                <c:pt idx="8">
                  <c:v>3000</c:v>
                </c:pt>
                <c:pt idx="9">
                  <c:v>4000</c:v>
                </c:pt>
                <c:pt idx="10">
                  <c:v>5000</c:v>
                </c:pt>
                <c:pt idx="11">
                  <c:v>7000</c:v>
                </c:pt>
                <c:pt idx="12">
                  <c:v>10000</c:v>
                </c:pt>
                <c:pt idx="13">
                  <c:v>20000</c:v>
                </c:pt>
                <c:pt idx="14">
                  <c:v>40000</c:v>
                </c:pt>
                <c:pt idx="15">
                  <c:v>50000</c:v>
                </c:pt>
                <c:pt idx="16">
                  <c:v>Diğer</c:v>
                </c:pt>
              </c:strCache>
            </c:strRef>
          </c:cat>
          <c:val>
            <c:numRef>
              <c:f>maddi_makale_2005!$J$4:$J$20</c:f>
              <c:numCache>
                <c:formatCode>General</c:formatCode>
                <c:ptCount val="17"/>
                <c:pt idx="0">
                  <c:v>6274</c:v>
                </c:pt>
                <c:pt idx="1">
                  <c:v>12263</c:v>
                </c:pt>
                <c:pt idx="2">
                  <c:v>10929</c:v>
                </c:pt>
                <c:pt idx="3">
                  <c:v>7524</c:v>
                </c:pt>
                <c:pt idx="4">
                  <c:v>4102</c:v>
                </c:pt>
                <c:pt idx="5">
                  <c:v>3950</c:v>
                </c:pt>
                <c:pt idx="6">
                  <c:v>3935</c:v>
                </c:pt>
                <c:pt idx="7">
                  <c:v>2167</c:v>
                </c:pt>
                <c:pt idx="8">
                  <c:v>1442</c:v>
                </c:pt>
                <c:pt idx="9">
                  <c:v>1665</c:v>
                </c:pt>
                <c:pt idx="10">
                  <c:v>939</c:v>
                </c:pt>
                <c:pt idx="11">
                  <c:v>1024</c:v>
                </c:pt>
                <c:pt idx="12">
                  <c:v>670</c:v>
                </c:pt>
                <c:pt idx="13">
                  <c:v>514</c:v>
                </c:pt>
                <c:pt idx="14">
                  <c:v>145</c:v>
                </c:pt>
                <c:pt idx="15">
                  <c:v>1</c:v>
                </c:pt>
                <c:pt idx="16">
                  <c:v>0</c:v>
                </c:pt>
              </c:numCache>
            </c:numRef>
          </c:val>
        </c:ser>
        <c:dLbls>
          <c:showLegendKey val="0"/>
          <c:showVal val="0"/>
          <c:showCatName val="0"/>
          <c:showSerName val="0"/>
          <c:showPercent val="0"/>
          <c:showBubbleSize val="0"/>
        </c:dLbls>
        <c:gapWidth val="0"/>
        <c:axId val="131109632"/>
        <c:axId val="131111936"/>
      </c:barChart>
      <c:catAx>
        <c:axId val="131109632"/>
        <c:scaling>
          <c:orientation val="minMax"/>
        </c:scaling>
        <c:delete val="0"/>
        <c:axPos val="b"/>
        <c:title>
          <c:tx>
            <c:rich>
              <a:bodyPr/>
              <a:lstStyle/>
              <a:p>
                <a:pPr>
                  <a:defRPr/>
                </a:pPr>
                <a:r>
                  <a:rPr lang="tr-TR" sz="900"/>
                  <a:t>Aralık</a:t>
                </a:r>
              </a:p>
            </c:rich>
          </c:tx>
          <c:overlay val="1"/>
        </c:title>
        <c:majorTickMark val="none"/>
        <c:minorTickMark val="none"/>
        <c:tickLblPos val="nextTo"/>
        <c:crossAx val="131111936"/>
        <c:crosses val="autoZero"/>
        <c:auto val="1"/>
        <c:lblAlgn val="ctr"/>
        <c:lblOffset val="100"/>
        <c:noMultiLvlLbl val="1"/>
      </c:catAx>
      <c:valAx>
        <c:axId val="131111936"/>
        <c:scaling>
          <c:orientation val="minMax"/>
        </c:scaling>
        <c:delete val="0"/>
        <c:axPos val="l"/>
        <c:title>
          <c:tx>
            <c:rich>
              <a:bodyPr/>
              <a:lstStyle/>
              <a:p>
                <a:pPr>
                  <a:defRPr/>
                </a:pPr>
                <a:r>
                  <a:rPr lang="tr-TR" sz="900"/>
                  <a:t>Frekans</a:t>
                </a:r>
              </a:p>
            </c:rich>
          </c:tx>
          <c:layout>
            <c:manualLayout>
              <c:xMode val="edge"/>
              <c:yMode val="edge"/>
              <c:x val="2.7777777777777779E-3"/>
              <c:y val="0.53725304045507061"/>
            </c:manualLayout>
          </c:layout>
          <c:overlay val="1"/>
        </c:title>
        <c:numFmt formatCode="General" sourceLinked="1"/>
        <c:majorTickMark val="out"/>
        <c:minorTickMark val="none"/>
        <c:tickLblPos val="nextTo"/>
        <c:crossAx val="131109632"/>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dc:creator>
  <cp:lastModifiedBy>ASLIHAN</cp:lastModifiedBy>
  <cp:revision>32</cp:revision>
  <cp:lastPrinted>2014-10-13T11:19:00Z</cp:lastPrinted>
  <dcterms:created xsi:type="dcterms:W3CDTF">2014-10-10T06:43:00Z</dcterms:created>
  <dcterms:modified xsi:type="dcterms:W3CDTF">2014-10-13T12:38:00Z</dcterms:modified>
</cp:coreProperties>
</file>